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43991" w14:textId="77777777" w:rsidR="002773DE" w:rsidRDefault="002773DE" w:rsidP="00C75FBA">
      <w:pPr>
        <w:pStyle w:val="Title"/>
      </w:pPr>
    </w:p>
    <w:p w14:paraId="2DB11AE9" w14:textId="77777777" w:rsidR="008604A2" w:rsidRPr="008604A2" w:rsidRDefault="008604A2" w:rsidP="008604A2"/>
    <w:p w14:paraId="7E622F10" w14:textId="77777777" w:rsidR="000C4647" w:rsidRPr="000C4647" w:rsidRDefault="000C4647" w:rsidP="000C4647"/>
    <w:p w14:paraId="17B47186" w14:textId="77777777" w:rsidR="002773DE" w:rsidRDefault="00742ECD" w:rsidP="00C75FBA">
      <w:pPr>
        <w:pStyle w:val="Title"/>
      </w:pPr>
      <w:r>
        <w:t>t</w:t>
      </w:r>
      <w:r w:rsidR="00EB6D4F">
        <w:t>ENDer specif</w:t>
      </w:r>
      <w:r w:rsidR="00FA5E74">
        <w:t>I</w:t>
      </w:r>
      <w:r w:rsidR="00EB6D4F">
        <w:t>cation</w:t>
      </w:r>
    </w:p>
    <w:p w14:paraId="0073ED23" w14:textId="77777777" w:rsidR="002773DE" w:rsidRDefault="00EB6D4F" w:rsidP="00CF7EEB">
      <w:pPr>
        <w:rPr>
          <w:sz w:val="32"/>
        </w:rPr>
      </w:pPr>
      <w:r w:rsidRPr="00CF7EEB">
        <w:rPr>
          <w:rFonts w:asciiTheme="majorHAnsi" w:eastAsiaTheme="majorEastAsia" w:hAnsiTheme="majorHAnsi" w:cstheme="majorBidi"/>
          <w:caps/>
          <w:color w:val="4F81BD" w:themeColor="accent1"/>
          <w:spacing w:val="10"/>
          <w:sz w:val="32"/>
          <w:szCs w:val="52"/>
        </w:rPr>
        <w:br/>
      </w:r>
      <w:r w:rsidR="00CF7EEB" w:rsidRPr="00CF7EEB">
        <w:rPr>
          <w:rFonts w:asciiTheme="majorHAnsi" w:eastAsiaTheme="majorEastAsia" w:hAnsiTheme="majorHAnsi" w:cstheme="majorBidi"/>
          <w:caps/>
          <w:color w:val="4F81BD" w:themeColor="accent1"/>
          <w:spacing w:val="10"/>
          <w:sz w:val="32"/>
          <w:szCs w:val="52"/>
        </w:rPr>
        <w:t>Tender Title:</w:t>
      </w:r>
      <w:r w:rsidR="00CF7EEB">
        <w:rPr>
          <w:b/>
          <w:sz w:val="28"/>
        </w:rPr>
        <w:t xml:space="preserve"> </w:t>
      </w:r>
      <w:r w:rsidR="001A4CD3">
        <w:rPr>
          <w:b/>
          <w:sz w:val="28"/>
        </w:rPr>
        <w:tab/>
      </w:r>
      <w:r w:rsidR="00742ECD" w:rsidRPr="00742ECD">
        <w:rPr>
          <w:b/>
          <w:sz w:val="28"/>
        </w:rPr>
        <w:t>Multiple Venue Providers for Business Workshops &amp;</w:t>
      </w:r>
      <w:r w:rsidR="00742ECD">
        <w:rPr>
          <w:b/>
          <w:sz w:val="28"/>
        </w:rPr>
        <w:br/>
      </w:r>
      <w:r w:rsidR="00742ECD" w:rsidRPr="00742ECD">
        <w:rPr>
          <w:b/>
          <w:sz w:val="28"/>
        </w:rPr>
        <w:t xml:space="preserve"> </w:t>
      </w:r>
      <w:r w:rsidR="00742ECD">
        <w:rPr>
          <w:b/>
          <w:sz w:val="28"/>
        </w:rPr>
        <w:tab/>
      </w:r>
      <w:r w:rsidR="00742ECD">
        <w:rPr>
          <w:b/>
          <w:sz w:val="28"/>
        </w:rPr>
        <w:tab/>
      </w:r>
      <w:r w:rsidR="00742ECD">
        <w:rPr>
          <w:b/>
          <w:sz w:val="28"/>
        </w:rPr>
        <w:tab/>
      </w:r>
      <w:r w:rsidR="00742ECD">
        <w:rPr>
          <w:b/>
          <w:sz w:val="28"/>
        </w:rPr>
        <w:tab/>
      </w:r>
      <w:r w:rsidR="00742ECD" w:rsidRPr="00742ECD">
        <w:rPr>
          <w:b/>
          <w:sz w:val="28"/>
        </w:rPr>
        <w:t>Presentations Across Cheshire &amp; Warrington</w:t>
      </w:r>
      <w:r w:rsidR="00CE3867">
        <w:br/>
      </w:r>
    </w:p>
    <w:p w14:paraId="7A5D07D1" w14:textId="36BC74AE" w:rsidR="00A05ED1" w:rsidRPr="00A05ED1" w:rsidRDefault="002D30A9" w:rsidP="00ED0805">
      <w:pPr>
        <w:pStyle w:val="Title"/>
        <w:ind w:left="2880" w:hanging="2880"/>
        <w:rPr>
          <w:b/>
          <w:sz w:val="28"/>
        </w:rPr>
      </w:pPr>
      <w:r w:rsidRPr="00F57168">
        <w:rPr>
          <w:sz w:val="32"/>
        </w:rPr>
        <w:t>ERDF Project:</w:t>
      </w:r>
      <w:r w:rsidR="001A4CD3">
        <w:rPr>
          <w:sz w:val="32"/>
        </w:rPr>
        <w:tab/>
      </w:r>
      <w:r w:rsidR="006F60CE" w:rsidRPr="006F60CE">
        <w:rPr>
          <w:rFonts w:asciiTheme="minorHAnsi" w:eastAsiaTheme="minorEastAsia" w:hAnsiTheme="minorHAnsi" w:cstheme="minorBidi"/>
          <w:b/>
          <w:caps w:val="0"/>
          <w:color w:val="auto"/>
          <w:spacing w:val="0"/>
          <w:sz w:val="28"/>
          <w:szCs w:val="20"/>
        </w:rPr>
        <w:t>Cheshire &amp; Warrington SME Growth Grants &amp; Access to Finance Advice</w:t>
      </w:r>
    </w:p>
    <w:p w14:paraId="5E01CE4B" w14:textId="77777777" w:rsidR="002D30A9" w:rsidRDefault="002D30A9" w:rsidP="00C75FBA">
      <w:pPr>
        <w:jc w:val="both"/>
      </w:pPr>
    </w:p>
    <w:p w14:paraId="0653F1E2" w14:textId="0C56725D" w:rsidR="002D30A9" w:rsidRDefault="002F5E44" w:rsidP="00C75FBA">
      <w:pPr>
        <w:jc w:val="both"/>
      </w:pPr>
      <w:r w:rsidRPr="002F5E44">
        <w:rPr>
          <w:rFonts w:asciiTheme="majorHAnsi" w:eastAsiaTheme="majorEastAsia" w:hAnsiTheme="majorHAnsi" w:cstheme="majorBidi"/>
          <w:caps/>
          <w:color w:val="4F81BD" w:themeColor="accent1"/>
          <w:spacing w:val="10"/>
          <w:sz w:val="32"/>
          <w:szCs w:val="52"/>
        </w:rPr>
        <w:t xml:space="preserve">Ref: </w:t>
      </w:r>
      <w:r w:rsidRPr="002F5E44">
        <w:rPr>
          <w:rFonts w:asciiTheme="majorHAnsi" w:eastAsiaTheme="majorEastAsia" w:hAnsiTheme="majorHAnsi" w:cstheme="majorBidi"/>
          <w:caps/>
          <w:color w:val="4F81BD" w:themeColor="accent1"/>
          <w:spacing w:val="10"/>
          <w:sz w:val="32"/>
          <w:szCs w:val="52"/>
        </w:rPr>
        <w:tab/>
      </w:r>
      <w:r>
        <w:rPr>
          <w:sz w:val="32"/>
        </w:rPr>
        <w:tab/>
      </w:r>
      <w:r>
        <w:rPr>
          <w:sz w:val="32"/>
        </w:rPr>
        <w:tab/>
      </w:r>
      <w:r w:rsidRPr="002F5E44">
        <w:rPr>
          <w:b/>
          <w:sz w:val="28"/>
        </w:rPr>
        <w:t>SP03</w:t>
      </w:r>
    </w:p>
    <w:p w14:paraId="5D732E63" w14:textId="77777777" w:rsidR="002D30A9" w:rsidRDefault="002D30A9" w:rsidP="00C75FBA">
      <w:pPr>
        <w:jc w:val="both"/>
      </w:pPr>
    </w:p>
    <w:p w14:paraId="26C76A27" w14:textId="77777777" w:rsidR="002D30A9" w:rsidRDefault="002D30A9" w:rsidP="00C75FBA">
      <w:pPr>
        <w:jc w:val="both"/>
      </w:pPr>
    </w:p>
    <w:p w14:paraId="4B401A02" w14:textId="77777777" w:rsidR="002D30A9" w:rsidRDefault="002D30A9" w:rsidP="00C75FBA">
      <w:pPr>
        <w:jc w:val="both"/>
      </w:pPr>
    </w:p>
    <w:p w14:paraId="75328F46" w14:textId="77777777" w:rsidR="002D30A9" w:rsidRDefault="002D30A9" w:rsidP="00C75FBA">
      <w:pPr>
        <w:jc w:val="both"/>
      </w:pPr>
    </w:p>
    <w:p w14:paraId="2FAF5463" w14:textId="77777777" w:rsidR="002D30A9" w:rsidRDefault="002D30A9" w:rsidP="00C75FBA">
      <w:pPr>
        <w:jc w:val="both"/>
      </w:pPr>
    </w:p>
    <w:p w14:paraId="7445196D" w14:textId="77777777" w:rsidR="002D30A9" w:rsidRDefault="002D30A9" w:rsidP="00C75FBA">
      <w:pPr>
        <w:jc w:val="both"/>
      </w:pPr>
    </w:p>
    <w:p w14:paraId="19ED6508" w14:textId="77777777" w:rsidR="002D30A9" w:rsidRDefault="002D30A9" w:rsidP="00C75FBA">
      <w:pPr>
        <w:jc w:val="both"/>
      </w:pPr>
    </w:p>
    <w:p w14:paraId="5178D421" w14:textId="77777777" w:rsidR="002D30A9" w:rsidRDefault="002D30A9" w:rsidP="00C75FBA">
      <w:pPr>
        <w:jc w:val="both"/>
      </w:pPr>
    </w:p>
    <w:p w14:paraId="236ECF9B" w14:textId="77777777" w:rsidR="002D30A9" w:rsidRDefault="002D30A9" w:rsidP="00C75FBA">
      <w:pPr>
        <w:jc w:val="both"/>
      </w:pPr>
    </w:p>
    <w:p w14:paraId="6D1F2A13" w14:textId="77777777" w:rsidR="002D30A9" w:rsidRDefault="002D30A9" w:rsidP="00C75FBA">
      <w:pPr>
        <w:jc w:val="both"/>
      </w:pPr>
    </w:p>
    <w:p w14:paraId="5F9E00A7" w14:textId="77777777" w:rsidR="000F3E22" w:rsidRDefault="000F3E22" w:rsidP="000F3E22">
      <w:pPr>
        <w:jc w:val="both"/>
      </w:pPr>
    </w:p>
    <w:p w14:paraId="4B8BFA48" w14:textId="13928793" w:rsidR="000F3E22" w:rsidRPr="002D30A9" w:rsidRDefault="00F02CF6" w:rsidP="000F3E22">
      <w:pPr>
        <w:jc w:val="center"/>
      </w:pPr>
      <w:r>
        <w:t>July</w:t>
      </w:r>
      <w:r w:rsidR="002F5E44">
        <w:t xml:space="preserve"> 2020</w:t>
      </w:r>
    </w:p>
    <w:p w14:paraId="540D8069" w14:textId="77777777" w:rsidR="00C75FBA" w:rsidRDefault="003F794C" w:rsidP="00C75FBA">
      <w:pPr>
        <w:pStyle w:val="Title"/>
      </w:pPr>
      <w:r>
        <w:br w:type="page"/>
      </w:r>
      <w:r w:rsidR="00C75FBA">
        <w:lastRenderedPageBreak/>
        <w:t>PArt A: Background to Specification</w:t>
      </w:r>
    </w:p>
    <w:p w14:paraId="25041756" w14:textId="77777777" w:rsidR="000F3E22" w:rsidRDefault="000F3E22" w:rsidP="000F3E22">
      <w:pPr>
        <w:jc w:val="both"/>
      </w:pPr>
      <w:r>
        <w:t>This document comprises the following sections:</w:t>
      </w:r>
    </w:p>
    <w:p w14:paraId="28FFF3E5" w14:textId="77777777" w:rsidR="000F3E22" w:rsidRDefault="000F3E22" w:rsidP="000F3E22">
      <w:pPr>
        <w:numPr>
          <w:ilvl w:val="0"/>
          <w:numId w:val="8"/>
        </w:numPr>
        <w:jc w:val="both"/>
      </w:pPr>
      <w:r>
        <w:t>Part A: Background to Specification which outlines the requirements of the service and provides guidance on completing the tender,</w:t>
      </w:r>
    </w:p>
    <w:p w14:paraId="7E3C4DC3" w14:textId="77777777" w:rsidR="000F3E22" w:rsidRDefault="000F3E22" w:rsidP="000F3E22">
      <w:pPr>
        <w:numPr>
          <w:ilvl w:val="0"/>
          <w:numId w:val="8"/>
        </w:numPr>
        <w:jc w:val="both"/>
      </w:pPr>
      <w:r>
        <w:t>Part B: Contractor Response Section, seeking supplier information</w:t>
      </w:r>
    </w:p>
    <w:p w14:paraId="6A802D2B" w14:textId="44D49F7D" w:rsidR="000F3E22" w:rsidRPr="00C75FBA" w:rsidRDefault="000F3E22" w:rsidP="000F3E22">
      <w:pPr>
        <w:jc w:val="both"/>
      </w:pPr>
      <w:r>
        <w:t xml:space="preserve">Please </w:t>
      </w:r>
      <w:proofErr w:type="gramStart"/>
      <w:r>
        <w:t>read carefully</w:t>
      </w:r>
      <w:proofErr w:type="gramEnd"/>
      <w:r>
        <w:t xml:space="preserve"> the instructions and answer all questions. If you have any queries regarding completing of the response please email </w:t>
      </w:r>
      <w:hyperlink r:id="rId8" w:history="1">
        <w:r w:rsidR="002F5E44" w:rsidRPr="005A79C3">
          <w:rPr>
            <w:rStyle w:val="Hyperlink"/>
          </w:rPr>
          <w:t>procurement@blueorchid.co.uk</w:t>
        </w:r>
      </w:hyperlink>
      <w:r>
        <w:t>.  We reserve the right to distribute the response provided to your question to other interested applicants if required under FOI legislation.</w:t>
      </w:r>
    </w:p>
    <w:p w14:paraId="5251CA39" w14:textId="77777777" w:rsidR="00AD66B3" w:rsidRDefault="00AD66B3" w:rsidP="00C75FBA">
      <w:pPr>
        <w:pStyle w:val="Heading1"/>
        <w:jc w:val="both"/>
      </w:pPr>
      <w:r>
        <w:t>Background</w:t>
      </w:r>
    </w:p>
    <w:p w14:paraId="0E907064" w14:textId="77777777" w:rsidR="006F60CE" w:rsidRDefault="006F60CE" w:rsidP="006F60CE">
      <w:pPr>
        <w:jc w:val="both"/>
      </w:pPr>
      <w:r>
        <w:t xml:space="preserve">Blue Orchid currently delivers a range of advice, </w:t>
      </w:r>
      <w:proofErr w:type="gramStart"/>
      <w:r>
        <w:t>guidance</w:t>
      </w:r>
      <w:proofErr w:type="gramEnd"/>
      <w:r>
        <w:t xml:space="preserve"> and mentoring services to small &amp; medium sized businesses within the UK. </w:t>
      </w:r>
    </w:p>
    <w:p w14:paraId="56346B1E" w14:textId="2BFA408F" w:rsidR="006F60CE" w:rsidRDefault="006F60CE" w:rsidP="006F60CE">
      <w:pPr>
        <w:jc w:val="both"/>
      </w:pPr>
      <w:r>
        <w:t xml:space="preserve">This includes the delivery of the EU-ERDF funded programme Cheshire &amp; Warrington SME Growth Grants &amp; Access to Finance Advice, which requires the procurement of all services and equipment that are used wholly or in part in their operation. </w:t>
      </w:r>
    </w:p>
    <w:p w14:paraId="13082309" w14:textId="77777777" w:rsidR="006F60CE" w:rsidRDefault="006F60CE" w:rsidP="006F60CE">
      <w:pPr>
        <w:jc w:val="both"/>
      </w:pPr>
      <w:r>
        <w:t>We are looking for quotes from multiple venues across Cheshire &amp; Warrington suitable to host a series of business presentations/workshops from 2020 onwards to the end of the project</w:t>
      </w:r>
    </w:p>
    <w:p w14:paraId="3A34D25B" w14:textId="77777777" w:rsidR="006F60CE" w:rsidRDefault="006F60CE" w:rsidP="006F60CE">
      <w:pPr>
        <w:jc w:val="both"/>
      </w:pPr>
      <w:r>
        <w:t xml:space="preserve">The type and number of workshops is still to be confirmed however we would expect to deliver approximately 10-20 workshops across the Cheshire &amp; Warrington each year aimed at small to medium sized businesses. </w:t>
      </w:r>
    </w:p>
    <w:p w14:paraId="148F0F03" w14:textId="00D9593F" w:rsidR="00BB775E" w:rsidRDefault="00BB775E" w:rsidP="00C75FBA">
      <w:pPr>
        <w:jc w:val="both"/>
        <w:rPr>
          <w:b/>
        </w:rPr>
      </w:pPr>
      <w:r w:rsidRPr="006F60CE">
        <w:rPr>
          <w:b/>
        </w:rPr>
        <w:t xml:space="preserve">Please note, therefore that response to this submission is at the sole cost of </w:t>
      </w:r>
      <w:r w:rsidR="00907C71" w:rsidRPr="006F60CE">
        <w:rPr>
          <w:b/>
        </w:rPr>
        <w:t>the supplier.</w:t>
      </w:r>
    </w:p>
    <w:p w14:paraId="4F3F9718" w14:textId="77777777" w:rsidR="00AD66B3" w:rsidRDefault="00AD66B3" w:rsidP="00C75FBA">
      <w:pPr>
        <w:pStyle w:val="Heading1"/>
        <w:jc w:val="both"/>
      </w:pPr>
      <w:r>
        <w:t>Requirements of the Brief</w:t>
      </w:r>
      <w:r w:rsidR="006F6E38">
        <w:t xml:space="preserve"> and selection criteria</w:t>
      </w:r>
    </w:p>
    <w:p w14:paraId="5594459D" w14:textId="77777777" w:rsidR="00742ECD" w:rsidRDefault="00742ECD" w:rsidP="00742ECD">
      <w:r>
        <w:t xml:space="preserve">Suitable/interested venues will need to be able to provide the following: </w:t>
      </w:r>
    </w:p>
    <w:p w14:paraId="42C4D6CE" w14:textId="77777777" w:rsidR="006F60CE" w:rsidRDefault="00742ECD" w:rsidP="00742ECD">
      <w:pPr>
        <w:pStyle w:val="ListParagraph"/>
        <w:numPr>
          <w:ilvl w:val="0"/>
          <w:numId w:val="38"/>
        </w:numPr>
        <w:spacing w:before="0" w:after="120" w:line="264" w:lineRule="auto"/>
      </w:pPr>
      <w:r>
        <w:t>A room</w:t>
      </w:r>
      <w:r w:rsidR="00CF2743">
        <w:t>/venue</w:t>
      </w:r>
      <w:r>
        <w:t xml:space="preserve"> </w:t>
      </w:r>
      <w:r w:rsidR="00A8160F">
        <w:t xml:space="preserve">in good upkeep </w:t>
      </w:r>
      <w:r>
        <w:t xml:space="preserve">to accommodate </w:t>
      </w:r>
      <w:r w:rsidR="002F5E44">
        <w:t>three potential event sizes</w:t>
      </w:r>
    </w:p>
    <w:p w14:paraId="5F8079D0" w14:textId="77777777" w:rsidR="006F60CE" w:rsidRDefault="002F5E44" w:rsidP="006F60CE">
      <w:pPr>
        <w:pStyle w:val="ListParagraph"/>
        <w:numPr>
          <w:ilvl w:val="1"/>
          <w:numId w:val="38"/>
        </w:numPr>
        <w:spacing w:before="0" w:after="120" w:line="264" w:lineRule="auto"/>
      </w:pPr>
      <w:r>
        <w:t>less than 10</w:t>
      </w:r>
      <w:r w:rsidR="006F60CE">
        <w:t xml:space="preserve"> people</w:t>
      </w:r>
    </w:p>
    <w:p w14:paraId="1BB1F6ED" w14:textId="77777777" w:rsidR="006F60CE" w:rsidRDefault="002F5E44" w:rsidP="006F60CE">
      <w:pPr>
        <w:pStyle w:val="ListParagraph"/>
        <w:numPr>
          <w:ilvl w:val="1"/>
          <w:numId w:val="38"/>
        </w:numPr>
        <w:spacing w:before="0" w:after="120" w:line="264" w:lineRule="auto"/>
      </w:pPr>
      <w:r>
        <w:t xml:space="preserve">up to 25 </w:t>
      </w:r>
      <w:r w:rsidR="006F60CE">
        <w:t>people</w:t>
      </w:r>
    </w:p>
    <w:p w14:paraId="343F8655" w14:textId="19BDA6BA" w:rsidR="00742ECD" w:rsidRDefault="002F5E44" w:rsidP="006F60CE">
      <w:pPr>
        <w:pStyle w:val="ListParagraph"/>
        <w:numPr>
          <w:ilvl w:val="1"/>
          <w:numId w:val="38"/>
        </w:numPr>
        <w:spacing w:before="0" w:after="120" w:line="264" w:lineRule="auto"/>
      </w:pPr>
      <w:r>
        <w:t>and up to 100</w:t>
      </w:r>
      <w:r w:rsidR="00742ECD">
        <w:t xml:space="preserve"> with appropriate tables and chairs in various room layouts.</w:t>
      </w:r>
    </w:p>
    <w:p w14:paraId="04112CBF" w14:textId="77777777" w:rsidR="00CF2743" w:rsidRDefault="00CF2743" w:rsidP="00742ECD">
      <w:pPr>
        <w:pStyle w:val="ListParagraph"/>
        <w:numPr>
          <w:ilvl w:val="0"/>
          <w:numId w:val="38"/>
        </w:numPr>
        <w:spacing w:before="0" w:after="120" w:line="264" w:lineRule="auto"/>
      </w:pPr>
      <w:r>
        <w:t xml:space="preserve">A venue appropriate to deliver </w:t>
      </w:r>
      <w:proofErr w:type="spellStart"/>
      <w:r>
        <w:t>to</w:t>
      </w:r>
      <w:proofErr w:type="spellEnd"/>
      <w:r>
        <w:t xml:space="preserve"> small to medium sized businesses with </w:t>
      </w:r>
      <w:proofErr w:type="gramStart"/>
      <w:r>
        <w:t>wheel chair</w:t>
      </w:r>
      <w:proofErr w:type="gramEnd"/>
      <w:r>
        <w:t xml:space="preserve"> access. </w:t>
      </w:r>
    </w:p>
    <w:p w14:paraId="21EE41E7" w14:textId="77777777" w:rsidR="00742ECD" w:rsidRDefault="00742ECD" w:rsidP="00742ECD">
      <w:pPr>
        <w:pStyle w:val="ListParagraph"/>
        <w:numPr>
          <w:ilvl w:val="0"/>
          <w:numId w:val="38"/>
        </w:numPr>
        <w:spacing w:before="0" w:after="120" w:line="264" w:lineRule="auto"/>
      </w:pPr>
      <w:r>
        <w:t>Flexibility to accommodate full day or half-day workshop</w:t>
      </w:r>
      <w:r w:rsidR="00CF2743">
        <w:t>s</w:t>
      </w:r>
      <w:r>
        <w:t>.</w:t>
      </w:r>
    </w:p>
    <w:p w14:paraId="4C62FC54" w14:textId="77777777" w:rsidR="00742ECD" w:rsidRDefault="00742ECD" w:rsidP="00742ECD">
      <w:pPr>
        <w:pStyle w:val="ListParagraph"/>
        <w:numPr>
          <w:ilvl w:val="0"/>
          <w:numId w:val="38"/>
        </w:numPr>
        <w:spacing w:before="0" w:after="120" w:line="264" w:lineRule="auto"/>
      </w:pPr>
      <w:r>
        <w:t>Wi-Fi facilities in the room that can be provi</w:t>
      </w:r>
      <w:r w:rsidR="00CF2743">
        <w:t>ded free of charge to all attendees</w:t>
      </w:r>
      <w:r>
        <w:t>.</w:t>
      </w:r>
    </w:p>
    <w:p w14:paraId="0C771250" w14:textId="77777777" w:rsidR="00742ECD" w:rsidRDefault="00742ECD" w:rsidP="00742ECD">
      <w:pPr>
        <w:pStyle w:val="ListParagraph"/>
        <w:numPr>
          <w:ilvl w:val="0"/>
          <w:numId w:val="38"/>
        </w:numPr>
        <w:spacing w:before="0" w:after="120" w:line="264" w:lineRule="auto"/>
      </w:pPr>
      <w:r>
        <w:t>A screen and projector suitable for connection to both a MacBook and PC laptop</w:t>
      </w:r>
    </w:p>
    <w:p w14:paraId="4F063AD6" w14:textId="77777777" w:rsidR="00742ECD" w:rsidRDefault="00CF2743" w:rsidP="00742ECD">
      <w:pPr>
        <w:pStyle w:val="ListParagraph"/>
        <w:numPr>
          <w:ilvl w:val="0"/>
          <w:numId w:val="38"/>
        </w:numPr>
        <w:spacing w:before="0" w:after="120" w:line="264" w:lineRule="auto"/>
      </w:pPr>
      <w:r>
        <w:t>Provision of l</w:t>
      </w:r>
      <w:r w:rsidR="00A8160F">
        <w:t xml:space="preserve">ight drink </w:t>
      </w:r>
      <w:r>
        <w:t>r</w:t>
      </w:r>
      <w:r w:rsidR="00742ECD">
        <w:t>efreshments (tea, coffee, juice).</w:t>
      </w:r>
    </w:p>
    <w:p w14:paraId="3D0C114A" w14:textId="77777777" w:rsidR="00CF2743" w:rsidRDefault="00CF2743" w:rsidP="00CF2743">
      <w:pPr>
        <w:pStyle w:val="ListParagraph"/>
        <w:numPr>
          <w:ilvl w:val="0"/>
          <w:numId w:val="38"/>
        </w:numPr>
        <w:spacing w:before="0" w:after="120" w:line="264" w:lineRule="auto"/>
      </w:pPr>
      <w:r>
        <w:t>Have their own café/restaurant or alternatively allow external caterers access for lunches etc.</w:t>
      </w:r>
    </w:p>
    <w:p w14:paraId="13000CCB" w14:textId="77777777" w:rsidR="00742ECD" w:rsidRDefault="00742ECD" w:rsidP="00742ECD">
      <w:pPr>
        <w:pStyle w:val="ListParagraph"/>
        <w:numPr>
          <w:ilvl w:val="0"/>
          <w:numId w:val="38"/>
        </w:numPr>
        <w:spacing w:before="0" w:after="120" w:line="264" w:lineRule="auto"/>
      </w:pPr>
      <w:r>
        <w:t>Onsite parking or close to alternative parking</w:t>
      </w:r>
      <w:r w:rsidR="00CF2743">
        <w:t xml:space="preserve">, both with </w:t>
      </w:r>
      <w:proofErr w:type="gramStart"/>
      <w:r w:rsidR="00CF2743">
        <w:t>wheel chair</w:t>
      </w:r>
      <w:proofErr w:type="gramEnd"/>
      <w:r w:rsidR="00CF2743">
        <w:t xml:space="preserve"> access</w:t>
      </w:r>
      <w:r>
        <w:t>.</w:t>
      </w:r>
    </w:p>
    <w:p w14:paraId="03F7711C" w14:textId="77777777" w:rsidR="00CF2743" w:rsidRDefault="00CF2743" w:rsidP="00742ECD">
      <w:pPr>
        <w:pStyle w:val="ListParagraph"/>
        <w:numPr>
          <w:ilvl w:val="0"/>
          <w:numId w:val="38"/>
        </w:numPr>
        <w:spacing w:before="0" w:after="120" w:line="264" w:lineRule="auto"/>
      </w:pPr>
      <w:r>
        <w:t>Appropriate insurances, health &amp; safety procedures, hygiene certificates etc. as appropriate.</w:t>
      </w:r>
    </w:p>
    <w:p w14:paraId="46BAFCD6" w14:textId="1D909718" w:rsidR="00742ECD" w:rsidRDefault="00742ECD" w:rsidP="00A73348">
      <w:pPr>
        <w:jc w:val="both"/>
      </w:pPr>
      <w:r>
        <w:t xml:space="preserve">Interested parties are required to email their completed response </w:t>
      </w:r>
      <w:r w:rsidRPr="00742ECD">
        <w:rPr>
          <w:b/>
          <w:u w:val="single"/>
        </w:rPr>
        <w:t>procurement@</w:t>
      </w:r>
      <w:r w:rsidR="002F5E44">
        <w:rPr>
          <w:b/>
          <w:u w:val="single"/>
        </w:rPr>
        <w:t>blueorchid</w:t>
      </w:r>
      <w:r w:rsidRPr="00742ECD">
        <w:rPr>
          <w:b/>
          <w:u w:val="single"/>
        </w:rPr>
        <w:t>.co.uk</w:t>
      </w:r>
      <w:r>
        <w:t xml:space="preserve"> before the specified deadline confirming they can fulfil </w:t>
      </w:r>
      <w:proofErr w:type="gramStart"/>
      <w:r>
        <w:t>all of</w:t>
      </w:r>
      <w:proofErr w:type="gramEnd"/>
      <w:r>
        <w:t xml:space="preserve"> the above requirements and supply a breakdown of costs.</w:t>
      </w:r>
      <w:r w:rsidR="006F6E38">
        <w:t xml:space="preserve">  </w:t>
      </w:r>
    </w:p>
    <w:p w14:paraId="0E828A64" w14:textId="77777777" w:rsidR="00742ECD" w:rsidRDefault="00742ECD" w:rsidP="00A73348">
      <w:pPr>
        <w:jc w:val="both"/>
      </w:pPr>
      <w:r>
        <w:lastRenderedPageBreak/>
        <w:t xml:space="preserve">By submitting this </w:t>
      </w:r>
      <w:proofErr w:type="gramStart"/>
      <w:r>
        <w:t>information</w:t>
      </w:r>
      <w:proofErr w:type="gramEnd"/>
      <w:r>
        <w:t xml:space="preserve"> you are not guaranteed to host any workshops but will be included on our </w:t>
      </w:r>
      <w:r w:rsidR="00CF2743">
        <w:t xml:space="preserve">supplier </w:t>
      </w:r>
      <w:r>
        <w:t>list as potential venues across the Cheshire &amp; Warrington area.</w:t>
      </w:r>
    </w:p>
    <w:p w14:paraId="4103E057" w14:textId="77777777" w:rsidR="00742ECD" w:rsidRDefault="00742ECD" w:rsidP="00A73348">
      <w:pPr>
        <w:jc w:val="both"/>
      </w:pPr>
      <w:r>
        <w:t xml:space="preserve">Venues will be selected on a most economically advantageous tender process when each workshop is released combining </w:t>
      </w:r>
      <w:r w:rsidR="00CF64D0">
        <w:t xml:space="preserve">equally </w:t>
      </w:r>
      <w:r>
        <w:t xml:space="preserve">cost with suitability/location of the venue </w:t>
      </w:r>
      <w:proofErr w:type="gramStart"/>
      <w:r>
        <w:t>in regards to</w:t>
      </w:r>
      <w:proofErr w:type="gramEnd"/>
      <w:r>
        <w:t xml:space="preserve"> target audience.</w:t>
      </w:r>
    </w:p>
    <w:p w14:paraId="2BC80BF6" w14:textId="77777777" w:rsidR="006F6E38" w:rsidRDefault="006F6E38" w:rsidP="00A73348">
      <w:pPr>
        <w:jc w:val="both"/>
        <w:rPr>
          <w:b/>
        </w:rPr>
      </w:pPr>
      <w:r w:rsidRPr="006F6E38">
        <w:rPr>
          <w:b/>
        </w:rPr>
        <w:t xml:space="preserve">Please See Appendix </w:t>
      </w:r>
      <w:r w:rsidR="00397082">
        <w:rPr>
          <w:b/>
        </w:rPr>
        <w:t>1</w:t>
      </w:r>
      <w:r w:rsidRPr="006F6E38">
        <w:rPr>
          <w:b/>
        </w:rPr>
        <w:t>: For Evaluation Criteria.</w:t>
      </w:r>
    </w:p>
    <w:p w14:paraId="347FAF77" w14:textId="155AB545" w:rsidR="006F6E38" w:rsidRDefault="006F6E38" w:rsidP="006F6E38">
      <w:pPr>
        <w:pStyle w:val="Heading1"/>
      </w:pPr>
      <w:r>
        <w:t>Suitability of Location</w:t>
      </w:r>
    </w:p>
    <w:p w14:paraId="23F48A72" w14:textId="77777777" w:rsidR="006F60CE" w:rsidRDefault="006F60CE" w:rsidP="006F60CE">
      <w:pPr>
        <w:jc w:val="both"/>
      </w:pPr>
      <w:r>
        <w:t>As this is a geographically based service, the venues must be located within easy business commutable area of Cheshire and Warrington and have geographic focus into sub-regions recognising the three Local Authorities within the sub-region and their varying needs.</w:t>
      </w:r>
    </w:p>
    <w:p w14:paraId="77EFF7ED" w14:textId="77777777" w:rsidR="006F60CE" w:rsidRDefault="006F60CE" w:rsidP="006F60CE">
      <w:pPr>
        <w:jc w:val="both"/>
      </w:pPr>
      <w:r>
        <w:t>To ease administration costs and to secure value for money it is considered appropriate to split the Cheshire and Warrington sub-region, into 5 individual award areas.</w:t>
      </w:r>
    </w:p>
    <w:p w14:paraId="4B035684" w14:textId="6F67DC1C" w:rsidR="006F60CE" w:rsidRDefault="006F60CE" w:rsidP="006F60CE">
      <w:pPr>
        <w:jc w:val="both"/>
      </w:pPr>
      <w:r>
        <w:t>The five areas are:</w:t>
      </w:r>
    </w:p>
    <w:p w14:paraId="7E73FE27" w14:textId="7AD21242" w:rsidR="006F60CE" w:rsidRDefault="006F60CE" w:rsidP="006F60CE">
      <w:pPr>
        <w:pStyle w:val="ListParagraph"/>
        <w:numPr>
          <w:ilvl w:val="0"/>
          <w:numId w:val="40"/>
        </w:numPr>
        <w:jc w:val="both"/>
      </w:pPr>
      <w:r>
        <w:t>All of Warrington MBC</w:t>
      </w:r>
    </w:p>
    <w:p w14:paraId="65171DD2" w14:textId="0393B3A9" w:rsidR="006F60CE" w:rsidRDefault="006F60CE" w:rsidP="006F60CE">
      <w:pPr>
        <w:pStyle w:val="ListParagraph"/>
        <w:numPr>
          <w:ilvl w:val="0"/>
          <w:numId w:val="40"/>
        </w:numPr>
        <w:jc w:val="both"/>
      </w:pPr>
      <w:r>
        <w:t>The northern part of Cheshire West and Chester Council</w:t>
      </w:r>
    </w:p>
    <w:p w14:paraId="66E7B3B9" w14:textId="44CB14E6" w:rsidR="006F60CE" w:rsidRDefault="006F60CE" w:rsidP="006F60CE">
      <w:pPr>
        <w:pStyle w:val="ListParagraph"/>
        <w:numPr>
          <w:ilvl w:val="0"/>
          <w:numId w:val="40"/>
        </w:numPr>
        <w:jc w:val="both"/>
      </w:pPr>
      <w:r>
        <w:t>The southern part of Cheshire West and Chester Council</w:t>
      </w:r>
    </w:p>
    <w:p w14:paraId="193C0057" w14:textId="7B830991" w:rsidR="006F60CE" w:rsidRDefault="006F60CE" w:rsidP="006F60CE">
      <w:pPr>
        <w:pStyle w:val="ListParagraph"/>
        <w:numPr>
          <w:ilvl w:val="0"/>
          <w:numId w:val="40"/>
        </w:numPr>
        <w:jc w:val="both"/>
      </w:pPr>
      <w:r>
        <w:t>The northern part of Cheshire East Council</w:t>
      </w:r>
    </w:p>
    <w:p w14:paraId="2DE5D1C3" w14:textId="28A000B5" w:rsidR="006F60CE" w:rsidRDefault="006F60CE" w:rsidP="006F60CE">
      <w:pPr>
        <w:pStyle w:val="ListParagraph"/>
        <w:numPr>
          <w:ilvl w:val="0"/>
          <w:numId w:val="40"/>
        </w:numPr>
        <w:jc w:val="both"/>
      </w:pPr>
      <w:r>
        <w:t>The southern part of Cheshire East Council</w:t>
      </w:r>
    </w:p>
    <w:p w14:paraId="77700290" w14:textId="435A88DE" w:rsidR="006F60CE" w:rsidRDefault="006F60CE" w:rsidP="006F60CE">
      <w:pPr>
        <w:jc w:val="both"/>
      </w:pPr>
      <w:r>
        <w:t xml:space="preserve">This is split is because the sub-region is very large covering near 1,000 square kilometres.  Within each of these areas, a minimum two venues will be selected as successful.  With each venue sharing equally (on a revolving basis) the volume of bookings, subject to their availability at the time. </w:t>
      </w:r>
    </w:p>
    <w:p w14:paraId="30945585" w14:textId="77777777" w:rsidR="00EB6D4F" w:rsidRDefault="00EB6D4F" w:rsidP="00C75FBA">
      <w:pPr>
        <w:pStyle w:val="Heading1"/>
        <w:jc w:val="both"/>
      </w:pPr>
      <w:r>
        <w:t>Timescales</w:t>
      </w:r>
    </w:p>
    <w:p w14:paraId="45A1AFAD" w14:textId="77777777" w:rsidR="00EB6D4F" w:rsidRDefault="00EB6D4F" w:rsidP="00C75FBA">
      <w:pPr>
        <w:jc w:val="both"/>
      </w:pPr>
      <w:r>
        <w:t>The table below outlines the timescales for this tender and delivery of the project.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6F60CE" w14:paraId="69640B05" w14:textId="77777777" w:rsidTr="00E360DD">
        <w:tc>
          <w:tcPr>
            <w:tcW w:w="4513" w:type="dxa"/>
          </w:tcPr>
          <w:p w14:paraId="66DD49F3" w14:textId="77777777" w:rsidR="006F60CE" w:rsidRDefault="006F60CE" w:rsidP="006F60CE">
            <w:pPr>
              <w:jc w:val="both"/>
            </w:pPr>
            <w:r>
              <w:t>Issue of Specification</w:t>
            </w:r>
          </w:p>
        </w:tc>
        <w:tc>
          <w:tcPr>
            <w:tcW w:w="4503" w:type="dxa"/>
            <w:shd w:val="clear" w:color="auto" w:fill="FFFF00"/>
          </w:tcPr>
          <w:p w14:paraId="0C7C5DFF" w14:textId="01BBE37A" w:rsidR="006F60CE" w:rsidRDefault="00F02CF6" w:rsidP="006F60CE">
            <w:pPr>
              <w:jc w:val="both"/>
            </w:pPr>
            <w:r>
              <w:t>7 July</w:t>
            </w:r>
            <w:r w:rsidR="006F60CE">
              <w:t xml:space="preserve"> 2020</w:t>
            </w:r>
          </w:p>
        </w:tc>
      </w:tr>
      <w:tr w:rsidR="006F60CE" w14:paraId="67E25A96" w14:textId="77777777" w:rsidTr="00E360DD">
        <w:tc>
          <w:tcPr>
            <w:tcW w:w="4513" w:type="dxa"/>
          </w:tcPr>
          <w:p w14:paraId="3E07B175" w14:textId="77777777" w:rsidR="006F60CE" w:rsidRPr="003A20C6" w:rsidRDefault="006F60CE" w:rsidP="006F60CE">
            <w:pPr>
              <w:jc w:val="both"/>
              <w:rPr>
                <w:b/>
              </w:rPr>
            </w:pPr>
            <w:r w:rsidRPr="003A20C6">
              <w:rPr>
                <w:b/>
              </w:rPr>
              <w:t>Deadline for Responses</w:t>
            </w:r>
          </w:p>
        </w:tc>
        <w:tc>
          <w:tcPr>
            <w:tcW w:w="4503" w:type="dxa"/>
            <w:shd w:val="clear" w:color="auto" w:fill="FFFF00"/>
          </w:tcPr>
          <w:p w14:paraId="0EE496D4" w14:textId="2A54B969" w:rsidR="006F60CE" w:rsidRPr="00581E49" w:rsidRDefault="00F02CF6" w:rsidP="006F60CE">
            <w:pPr>
              <w:jc w:val="both"/>
              <w:rPr>
                <w:b/>
              </w:rPr>
            </w:pPr>
            <w:r>
              <w:rPr>
                <w:b/>
              </w:rPr>
              <w:t>21 August 2020</w:t>
            </w:r>
            <w:r w:rsidR="006F60CE">
              <w:rPr>
                <w:b/>
              </w:rPr>
              <w:t xml:space="preserve"> @ 9:00AM</w:t>
            </w:r>
          </w:p>
        </w:tc>
      </w:tr>
      <w:tr w:rsidR="00A06BE6" w14:paraId="7C42C2E8" w14:textId="77777777" w:rsidTr="00E360DD">
        <w:tc>
          <w:tcPr>
            <w:tcW w:w="4513" w:type="dxa"/>
          </w:tcPr>
          <w:p w14:paraId="3BED74A7" w14:textId="22719B09" w:rsidR="00A06BE6" w:rsidRPr="003A20C6" w:rsidRDefault="00A06BE6" w:rsidP="00A06BE6">
            <w:pPr>
              <w:jc w:val="both"/>
              <w:rPr>
                <w:b/>
              </w:rPr>
            </w:pPr>
            <w:r>
              <w:t>Interview (if required for clarification)</w:t>
            </w:r>
          </w:p>
        </w:tc>
        <w:tc>
          <w:tcPr>
            <w:tcW w:w="4503" w:type="dxa"/>
            <w:shd w:val="clear" w:color="auto" w:fill="FFFF00"/>
          </w:tcPr>
          <w:p w14:paraId="1FA0F0CE" w14:textId="7B557B70" w:rsidR="00A06BE6" w:rsidRDefault="00A06BE6" w:rsidP="00A06BE6">
            <w:pPr>
              <w:jc w:val="both"/>
              <w:rPr>
                <w:b/>
              </w:rPr>
            </w:pPr>
            <w:r>
              <w:t>Not applicable</w:t>
            </w:r>
          </w:p>
        </w:tc>
      </w:tr>
      <w:tr w:rsidR="00A06BE6" w14:paraId="5097C22E" w14:textId="77777777" w:rsidTr="00E360DD">
        <w:tc>
          <w:tcPr>
            <w:tcW w:w="4513" w:type="dxa"/>
          </w:tcPr>
          <w:p w14:paraId="6C6240B6" w14:textId="70DD0566" w:rsidR="00A06BE6" w:rsidRPr="003A20C6" w:rsidRDefault="00A06BE6" w:rsidP="00A06BE6">
            <w:pPr>
              <w:jc w:val="both"/>
              <w:rPr>
                <w:b/>
              </w:rPr>
            </w:pPr>
            <w:r>
              <w:t>Evaluation and Feedback</w:t>
            </w:r>
          </w:p>
        </w:tc>
        <w:tc>
          <w:tcPr>
            <w:tcW w:w="4503" w:type="dxa"/>
            <w:shd w:val="clear" w:color="auto" w:fill="FFFF00"/>
          </w:tcPr>
          <w:p w14:paraId="72BC4C87" w14:textId="31CBEFA8" w:rsidR="00A06BE6" w:rsidRPr="006F60CE" w:rsidRDefault="00F02CF6" w:rsidP="00A06BE6">
            <w:pPr>
              <w:jc w:val="both"/>
              <w:rPr>
                <w:bCs/>
              </w:rPr>
            </w:pPr>
            <w:r>
              <w:rPr>
                <w:bCs/>
              </w:rPr>
              <w:t>28 August 2020</w:t>
            </w:r>
          </w:p>
        </w:tc>
      </w:tr>
      <w:tr w:rsidR="00A06BE6" w14:paraId="5539053F" w14:textId="77777777" w:rsidTr="00E360DD">
        <w:tc>
          <w:tcPr>
            <w:tcW w:w="4513" w:type="dxa"/>
          </w:tcPr>
          <w:p w14:paraId="4DD1CA3A" w14:textId="6A250114" w:rsidR="00A06BE6" w:rsidRPr="003A20C6" w:rsidRDefault="00A06BE6" w:rsidP="00A06BE6">
            <w:pPr>
              <w:jc w:val="both"/>
              <w:rPr>
                <w:b/>
              </w:rPr>
            </w:pPr>
            <w:r>
              <w:t>Consideration of Award</w:t>
            </w:r>
          </w:p>
        </w:tc>
        <w:tc>
          <w:tcPr>
            <w:tcW w:w="4503" w:type="dxa"/>
            <w:shd w:val="clear" w:color="auto" w:fill="FFFF00"/>
          </w:tcPr>
          <w:p w14:paraId="325463D8" w14:textId="0E21D7A5" w:rsidR="00A06BE6" w:rsidRPr="00A06BE6" w:rsidRDefault="00F02CF6" w:rsidP="00A06BE6">
            <w:pPr>
              <w:jc w:val="both"/>
              <w:rPr>
                <w:bCs/>
              </w:rPr>
            </w:pPr>
            <w:r>
              <w:rPr>
                <w:bCs/>
              </w:rPr>
              <w:t>1 September 2020</w:t>
            </w:r>
          </w:p>
        </w:tc>
      </w:tr>
    </w:tbl>
    <w:p w14:paraId="787C81A9" w14:textId="77777777" w:rsidR="00A06BE6" w:rsidRDefault="00A06BE6" w:rsidP="00A06BE6">
      <w:pPr>
        <w:pStyle w:val="Heading1"/>
        <w:jc w:val="both"/>
      </w:pPr>
      <w:r>
        <w:t>Pricing</w:t>
      </w:r>
    </w:p>
    <w:p w14:paraId="40E65FBC" w14:textId="7CC5DE43" w:rsidR="00A06BE6" w:rsidRDefault="00A06BE6" w:rsidP="00A06BE6">
      <w:pPr>
        <w:jc w:val="both"/>
      </w:pPr>
      <w:r>
        <w:t xml:space="preserve">We are seeking a total price for as outlined in the pricing section.  The contract will be for a </w:t>
      </w:r>
      <w:proofErr w:type="gramStart"/>
      <w:r w:rsidR="00F02CF6">
        <w:t>24</w:t>
      </w:r>
      <w:r>
        <w:t xml:space="preserve"> month</w:t>
      </w:r>
      <w:proofErr w:type="gramEnd"/>
      <w:r>
        <w:t xml:space="preserve"> period, and open to renewal for a further 24 month period (or until the project ends), with yearly performance reviews.  </w:t>
      </w:r>
    </w:p>
    <w:p w14:paraId="5B873577" w14:textId="2713E289" w:rsidR="00A06BE6" w:rsidRDefault="00A06BE6" w:rsidP="00A06BE6">
      <w:pPr>
        <w:jc w:val="both"/>
      </w:pPr>
      <w:r w:rsidRPr="00A06BE6">
        <w:rPr>
          <w:b/>
          <w:bCs/>
        </w:rPr>
        <w:t>There is no guarantee of work.</w:t>
      </w:r>
    </w:p>
    <w:p w14:paraId="71BA29FF" w14:textId="0F1E7D17" w:rsidR="006852FB" w:rsidRDefault="006852FB" w:rsidP="006852FB">
      <w:pPr>
        <w:rPr>
          <w:rFonts w:asciiTheme="majorHAnsi" w:eastAsiaTheme="majorEastAsia" w:hAnsiTheme="majorHAnsi" w:cstheme="majorBidi"/>
          <w:color w:val="4F81BD" w:themeColor="accent1"/>
          <w:spacing w:val="10"/>
          <w:szCs w:val="52"/>
        </w:rPr>
      </w:pPr>
      <w:r>
        <w:br w:type="page"/>
      </w:r>
    </w:p>
    <w:p w14:paraId="0DE9FEFF" w14:textId="77777777" w:rsidR="00EB6D4F" w:rsidRPr="00DF4BF9" w:rsidRDefault="00473065" w:rsidP="00672C44">
      <w:pPr>
        <w:pStyle w:val="Title"/>
        <w:rPr>
          <w:sz w:val="44"/>
        </w:rPr>
      </w:pPr>
      <w:r w:rsidRPr="00DF4BF9">
        <w:rPr>
          <w:sz w:val="44"/>
        </w:rPr>
        <w:lastRenderedPageBreak/>
        <w:t xml:space="preserve">TECHNICAL </w:t>
      </w:r>
      <w:r w:rsidR="00E6092F" w:rsidRPr="00DF4BF9">
        <w:rPr>
          <w:sz w:val="44"/>
        </w:rPr>
        <w:t>NOTE</w:t>
      </w:r>
      <w:r w:rsidRPr="00DF4BF9">
        <w:rPr>
          <w:sz w:val="44"/>
        </w:rPr>
        <w:t>s</w:t>
      </w:r>
    </w:p>
    <w:p w14:paraId="64E82AB7" w14:textId="77777777" w:rsidR="00E6092F" w:rsidRPr="00E6092F" w:rsidRDefault="00E6092F" w:rsidP="00C75FBA">
      <w:pPr>
        <w:pStyle w:val="Heading1"/>
        <w:jc w:val="both"/>
      </w:pPr>
      <w:r>
        <w:t>No Contract</w:t>
      </w:r>
    </w:p>
    <w:p w14:paraId="39BBA385" w14:textId="77777777" w:rsidR="008E7751" w:rsidRPr="001074CA" w:rsidRDefault="008E7751" w:rsidP="00485A3B">
      <w:pPr>
        <w:jc w:val="both"/>
        <w:rPr>
          <w:szCs w:val="24"/>
        </w:rPr>
      </w:pPr>
      <w:r w:rsidRPr="005A13D4">
        <w:t xml:space="preserve">No information contained </w:t>
      </w:r>
      <w:r w:rsidRPr="00313C12">
        <w:t>in this specification</w:t>
      </w:r>
      <w:r w:rsidRPr="005A13D4">
        <w:t xml:space="preserve"> or in any communication made between </w:t>
      </w:r>
      <w:r w:rsidR="00981D41">
        <w:t>Blue Orchid</w:t>
      </w:r>
      <w:r>
        <w:t xml:space="preserve"> and the project partners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 or to terminate the process at any time.  Under no circumstances shall Blue Orchid incur any liability in respect of this</w:t>
      </w:r>
      <w:r>
        <w:rPr>
          <w:szCs w:val="24"/>
        </w:rPr>
        <w:t xml:space="preserve"> specification </w:t>
      </w:r>
      <w:r w:rsidRPr="001074CA">
        <w:rPr>
          <w:szCs w:val="24"/>
        </w:rPr>
        <w:t>or any supporting documentation.</w:t>
      </w:r>
    </w:p>
    <w:p w14:paraId="6E7CF483" w14:textId="77777777" w:rsidR="001074CA" w:rsidRDefault="001074CA" w:rsidP="00167279">
      <w:r w:rsidRPr="001074CA">
        <w:t>You accept Blue Orchid’s Terms and Conditions of Business and Requirements of ERDF Funding.</w:t>
      </w:r>
    </w:p>
    <w:p w14:paraId="4ABD4591" w14:textId="77777777" w:rsidR="00485A3B" w:rsidRPr="00E6092F" w:rsidRDefault="00485A3B" w:rsidP="00485A3B">
      <w:pPr>
        <w:pStyle w:val="Heading1"/>
        <w:jc w:val="both"/>
      </w:pPr>
      <w:r>
        <w:t>freeedom of information</w:t>
      </w:r>
    </w:p>
    <w:p w14:paraId="5A22AECE" w14:textId="77777777" w:rsidR="00485A3B" w:rsidRPr="00485A3B" w:rsidRDefault="00485A3B" w:rsidP="00485A3B">
      <w:pPr>
        <w:pStyle w:val="Numbered"/>
        <w:widowControl/>
        <w:spacing w:before="100" w:after="200" w:line="276" w:lineRule="auto"/>
        <w:jc w:val="both"/>
        <w:rPr>
          <w:rFonts w:asciiTheme="minorHAnsi" w:hAnsiTheme="minorHAnsi"/>
          <w:sz w:val="20"/>
          <w:szCs w:val="20"/>
        </w:rPr>
      </w:pPr>
      <w:r w:rsidRPr="00485A3B">
        <w:rPr>
          <w:rFonts w:asciiTheme="minorHAnsi" w:hAnsiTheme="minorHAnsi"/>
          <w:sz w:val="20"/>
          <w:szCs w:val="20"/>
        </w:rPr>
        <w:t xml:space="preserve">Blue Orchid is committed to open government and to meeting their responsibilities under the Freedom of Information Act 2000. Accordingly, all information submitted to Blue Orchid may need to be disclosed in response to a request under the Act.  If you consider that any of the information included in your tender is commercially sensitive, please identify it and explain </w:t>
      </w:r>
      <w:r w:rsidRPr="00485A3B">
        <w:rPr>
          <w:rFonts w:asciiTheme="minorHAnsi" w:hAnsiTheme="minorHAnsi"/>
          <w:b/>
          <w:sz w:val="20"/>
          <w:szCs w:val="20"/>
        </w:rPr>
        <w:t xml:space="preserve">(in broad terms) </w:t>
      </w:r>
      <w:r w:rsidRPr="00485A3B">
        <w:rPr>
          <w:rFonts w:asciiTheme="minorHAnsi" w:hAnsiTheme="minorHAnsi"/>
          <w:sz w:val="20"/>
          <w:szCs w:val="20"/>
        </w:rPr>
        <w:t>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14:paraId="7F98FA96" w14:textId="77777777" w:rsidR="00591FA0" w:rsidRPr="00EA1BE1" w:rsidRDefault="00591FA0" w:rsidP="00473065">
      <w:pPr>
        <w:pStyle w:val="Heading1"/>
      </w:pPr>
      <w:r w:rsidRPr="00EA1BE1">
        <w:t>Instructions for Completion</w:t>
      </w:r>
    </w:p>
    <w:p w14:paraId="2AD23FF5" w14:textId="77777777" w:rsidR="00591FA0" w:rsidRPr="00876B54" w:rsidRDefault="00591FA0" w:rsidP="00591FA0">
      <w:pPr>
        <w:jc w:val="both"/>
        <w:rPr>
          <w:rFonts w:cs="Arial"/>
          <w:b/>
        </w:rPr>
      </w:pPr>
      <w:r w:rsidRPr="00876B54">
        <w:rPr>
          <w:rFonts w:cs="Arial"/>
          <w:b/>
        </w:rPr>
        <w:t xml:space="preserve">Completed questionnaires should be submitted in electronic format and emailed to the </w:t>
      </w:r>
      <w:r w:rsidR="007B1B31">
        <w:rPr>
          <w:rFonts w:cs="Arial"/>
          <w:b/>
        </w:rPr>
        <w:t xml:space="preserve">email </w:t>
      </w:r>
      <w:r w:rsidRPr="00876B54">
        <w:rPr>
          <w:rFonts w:cs="Arial"/>
          <w:b/>
        </w:rPr>
        <w:t>address given at the end of this section and by the due date as outlined in Deadline for Response in the Timescales section.</w:t>
      </w:r>
    </w:p>
    <w:p w14:paraId="5EEC7065" w14:textId="77777777" w:rsidR="00591FA0" w:rsidRPr="00876B54" w:rsidRDefault="00591FA0" w:rsidP="00591FA0">
      <w:pPr>
        <w:jc w:val="both"/>
        <w:rPr>
          <w:rFonts w:cs="Arial"/>
        </w:rPr>
      </w:pPr>
      <w:r w:rsidRPr="00876B54">
        <w:rPr>
          <w:rFonts w:cs="Arial"/>
        </w:rPr>
        <w:t>You should answer all questions as accurately and concisely as possible.  Where a question is not relevant to your organisation, please state N/A (not applicable) and include a brief explanation if required.</w:t>
      </w:r>
    </w:p>
    <w:p w14:paraId="2FA0BD17" w14:textId="77777777" w:rsidR="00591FA0" w:rsidRPr="00876B54" w:rsidRDefault="00591FA0" w:rsidP="00591FA0">
      <w:pPr>
        <w:jc w:val="both"/>
        <w:rPr>
          <w:rFonts w:cs="Arial"/>
        </w:rPr>
      </w:pPr>
      <w:r w:rsidRPr="00876B54">
        <w:rPr>
          <w:rFonts w:cs="Arial"/>
        </w:rPr>
        <w:t>Questions must be answered in English.</w:t>
      </w:r>
    </w:p>
    <w:p w14:paraId="4482F27F" w14:textId="77777777" w:rsidR="00591FA0" w:rsidRPr="00876B54" w:rsidRDefault="00591FA0" w:rsidP="00591FA0">
      <w:pPr>
        <w:jc w:val="both"/>
        <w:rPr>
          <w:rFonts w:cs="Arial"/>
        </w:rPr>
      </w:pPr>
      <w:r w:rsidRPr="00876B54">
        <w:rPr>
          <w:rFonts w:cs="Arial"/>
        </w:rPr>
        <w:t xml:space="preserve">Responses will be evaluated in accordance with the procedures set out in Part A.  </w:t>
      </w:r>
      <w:proofErr w:type="gramStart"/>
      <w:r w:rsidRPr="00876B54">
        <w:rPr>
          <w:rFonts w:cs="Arial"/>
        </w:rPr>
        <w:t>In the event that</w:t>
      </w:r>
      <w:proofErr w:type="gramEnd"/>
      <w:r w:rsidRPr="00876B54">
        <w:rPr>
          <w:rFonts w:cs="Arial"/>
        </w:rPr>
        <w:t xml:space="preserve"> none of the responses are deemed satisfactory, Blue Orchid reserves the right to consider alternative procurement options.</w:t>
      </w:r>
    </w:p>
    <w:p w14:paraId="6E9DD57D" w14:textId="77777777" w:rsidR="00591FA0" w:rsidRPr="00876B54" w:rsidRDefault="00591FA0" w:rsidP="00591FA0">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8141712" w14:textId="77777777" w:rsidR="00591FA0" w:rsidRPr="00EE2AD2" w:rsidRDefault="00591FA0" w:rsidP="00591FA0">
      <w:pPr>
        <w:pStyle w:val="Heading2"/>
        <w:jc w:val="both"/>
        <w:rPr>
          <w:rFonts w:cs="Arial"/>
        </w:rPr>
      </w:pPr>
      <w:r w:rsidRPr="00EE2AD2">
        <w:rPr>
          <w:rFonts w:cs="Arial"/>
        </w:rPr>
        <w:t>Consortia and sub-contracting</w:t>
      </w:r>
    </w:p>
    <w:p w14:paraId="75C5CE59" w14:textId="77777777"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14:paraId="408A311B" w14:textId="77777777" w:rsidR="00591FA0" w:rsidRPr="00876B54" w:rsidRDefault="00591FA0" w:rsidP="00591FA0">
      <w:pPr>
        <w:jc w:val="both"/>
        <w:rPr>
          <w:rFonts w:cs="Arial"/>
        </w:rPr>
      </w:pPr>
      <w:r w:rsidRPr="00876B54">
        <w:rPr>
          <w:rFonts w:cs="Arial"/>
        </w:rPr>
        <w:lastRenderedPageBreak/>
        <w:t xml:space="preserve">Blue Orchid recognises that arrangements in relation to consortia and sub-contracting may be subject to future change. </w:t>
      </w:r>
      <w:r w:rsidR="00473065" w:rsidRPr="00876B54">
        <w:rPr>
          <w:rFonts w:cs="Arial"/>
        </w:rPr>
        <w:t xml:space="preserve"> </w:t>
      </w:r>
      <w:r w:rsidRPr="00876B54">
        <w:rPr>
          <w:rFonts w:cs="Arial"/>
        </w:rPr>
        <w:t>Service providers/suppliers should therefore respond in the light of such arrangements as are currently envisaged.</w:t>
      </w:r>
    </w:p>
    <w:p w14:paraId="108AAD8E" w14:textId="77777777" w:rsidR="00591FA0" w:rsidRPr="00876B54" w:rsidRDefault="00591FA0" w:rsidP="00591FA0">
      <w:pPr>
        <w:jc w:val="both"/>
        <w:rPr>
          <w:rFonts w:cs="Arial"/>
        </w:rPr>
      </w:pPr>
      <w:r w:rsidRPr="00876B54">
        <w:rPr>
          <w:rFonts w:cs="Arial"/>
        </w:rPr>
        <w:t>Please provide details of the proportion of any contract awarded under this contract that the prospective partner proposes to subcontract.</w:t>
      </w:r>
    </w:p>
    <w:p w14:paraId="3330E4C6" w14:textId="77777777" w:rsidR="00591FA0" w:rsidRDefault="00591FA0" w:rsidP="00591FA0">
      <w:pPr>
        <w:jc w:val="both"/>
        <w:rPr>
          <w:rFonts w:cs="Arial"/>
        </w:rPr>
      </w:pPr>
      <w:r w:rsidRPr="00876B54">
        <w:rPr>
          <w:rFonts w:cs="Arial"/>
        </w:rPr>
        <w:t xml:space="preserve">Blue Orchid </w:t>
      </w:r>
      <w:r w:rsidR="00473065" w:rsidRPr="00876B54">
        <w:rPr>
          <w:rFonts w:cs="Arial"/>
        </w:rPr>
        <w:t xml:space="preserve">reserves the right to </w:t>
      </w:r>
      <w:r w:rsidRPr="00876B54">
        <w:rPr>
          <w:rFonts w:cs="Arial"/>
        </w:rPr>
        <w:t xml:space="preserve">seek independent financial and market advice to validate information declared or to assist in the evaluation. </w:t>
      </w:r>
    </w:p>
    <w:p w14:paraId="75C53EA4" w14:textId="77777777" w:rsidR="00591FA0" w:rsidRPr="00EE2AD2" w:rsidRDefault="00591FA0" w:rsidP="00591FA0">
      <w:pPr>
        <w:pStyle w:val="Heading2"/>
        <w:jc w:val="both"/>
        <w:rPr>
          <w:rFonts w:cs="Arial"/>
        </w:rPr>
      </w:pPr>
      <w:r w:rsidRPr="00EE2AD2">
        <w:rPr>
          <w:rFonts w:cs="Arial"/>
        </w:rPr>
        <w:t>Queries about the procurement</w:t>
      </w:r>
    </w:p>
    <w:p w14:paraId="2B011B0E" w14:textId="77777777" w:rsidR="00591FA0" w:rsidRDefault="00591FA0" w:rsidP="00591FA0">
      <w:pPr>
        <w:jc w:val="both"/>
        <w:rPr>
          <w:rFonts w:cs="Arial"/>
        </w:rPr>
      </w:pPr>
      <w:r w:rsidRPr="00C94D63">
        <w:rPr>
          <w:rFonts w:cs="Arial"/>
        </w:rPr>
        <w:t xml:space="preserve">Blue Orchid will not </w:t>
      </w:r>
      <w:proofErr w:type="gramStart"/>
      <w:r w:rsidRPr="00C94D63">
        <w:rPr>
          <w:rFonts w:cs="Arial"/>
        </w:rPr>
        <w:t>enter into</w:t>
      </w:r>
      <w:proofErr w:type="gramEnd"/>
      <w:r w:rsidRPr="00C94D63">
        <w:rPr>
          <w:rFonts w:cs="Arial"/>
        </w:rPr>
        <w:t xml:space="preserve"> detailed discussion of the requirements at this stage.</w:t>
      </w:r>
      <w:r w:rsidR="003A20C6">
        <w:rPr>
          <w:rFonts w:cs="Arial"/>
        </w:rPr>
        <w:t xml:space="preserve">  </w:t>
      </w:r>
      <w:r w:rsidRPr="00167279">
        <w:rPr>
          <w:rFonts w:cs="Arial"/>
        </w:rPr>
        <w:t>Any questions about the procurement should be submitted by e-mail to the contact stated below.</w:t>
      </w:r>
    </w:p>
    <w:p w14:paraId="6477BD21" w14:textId="4F478DC2" w:rsidR="003A20C6" w:rsidRDefault="00092F72" w:rsidP="003A20C6">
      <w:pPr>
        <w:jc w:val="both"/>
        <w:rPr>
          <w:rFonts w:cs="Arial"/>
          <w:sz w:val="24"/>
          <w:szCs w:val="24"/>
        </w:rPr>
      </w:pPr>
      <w:hyperlink r:id="rId9" w:history="1">
        <w:r w:rsidR="002F5E44" w:rsidRPr="005A79C3">
          <w:rPr>
            <w:rStyle w:val="Hyperlink"/>
            <w:rFonts w:cs="Arial"/>
            <w:sz w:val="24"/>
            <w:szCs w:val="24"/>
          </w:rPr>
          <w:t>procurement@blueorchid.co.uk</w:t>
        </w:r>
      </w:hyperlink>
    </w:p>
    <w:p w14:paraId="609F7B0B" w14:textId="77777777" w:rsidR="00591FA0" w:rsidRPr="00EA1BE1" w:rsidRDefault="00591FA0" w:rsidP="003A20C6">
      <w:pPr>
        <w:jc w:val="both"/>
      </w:pPr>
      <w:r w:rsidRPr="00EA1BE1">
        <w:t xml:space="preserve">If </w:t>
      </w:r>
      <w:r>
        <w:t xml:space="preserve">Blue Orchid </w:t>
      </w:r>
      <w:r w:rsidRPr="00EA1BE1">
        <w:t xml:space="preserve">considers any question or request for clarification to be of such significance that all potential suppliers who have responded should be made aware of it, both the query and the response will be communicated to them, in a suitably anonymous form. </w:t>
      </w:r>
    </w:p>
    <w:p w14:paraId="61404FF4" w14:textId="77777777" w:rsidR="00591FA0" w:rsidRPr="00EA1BE1" w:rsidRDefault="00591FA0" w:rsidP="006852FB">
      <w:pPr>
        <w:jc w:val="both"/>
      </w:pPr>
      <w:r w:rsidRPr="00EA1BE1">
        <w:t>All responses received and any communication from service providers will be treated in confidence</w:t>
      </w:r>
      <w:r w:rsidR="00E7413D">
        <w:t>, notwithstanding</w:t>
      </w:r>
      <w:r w:rsidR="003A20C6">
        <w:t xml:space="preserve"> the above paragraph</w:t>
      </w:r>
      <w:r w:rsidRPr="00EA1BE1">
        <w:t>.</w:t>
      </w:r>
    </w:p>
    <w:p w14:paraId="7B482040" w14:textId="77777777" w:rsidR="009165B6" w:rsidRPr="00EE2AD2" w:rsidRDefault="009165B6" w:rsidP="00C75FBA">
      <w:pPr>
        <w:pStyle w:val="Heading1"/>
        <w:jc w:val="both"/>
      </w:pPr>
      <w:r w:rsidRPr="00EE2AD2">
        <w:t xml:space="preserve">Supplier Selection </w:t>
      </w:r>
    </w:p>
    <w:p w14:paraId="190A2493" w14:textId="77777777" w:rsidR="009165B6" w:rsidRPr="00167279" w:rsidRDefault="009165B6" w:rsidP="00C75FBA">
      <w:pPr>
        <w:jc w:val="both"/>
        <w:rPr>
          <w:rFonts w:cs="Arial"/>
          <w:szCs w:val="24"/>
        </w:rPr>
      </w:pPr>
      <w:r w:rsidRPr="00167279">
        <w:rPr>
          <w:rFonts w:cs="Arial"/>
          <w:szCs w:val="24"/>
        </w:rPr>
        <w:t xml:space="preserve">Selection criteria </w:t>
      </w:r>
      <w:r w:rsidR="004872CB" w:rsidRPr="00167279">
        <w:rPr>
          <w:rFonts w:cs="Arial"/>
          <w:szCs w:val="24"/>
        </w:rPr>
        <w:t xml:space="preserve">at a general level </w:t>
      </w:r>
      <w:r w:rsidRPr="00167279">
        <w:rPr>
          <w:rFonts w:cs="Arial"/>
          <w:szCs w:val="24"/>
        </w:rPr>
        <w:t>will be a combination of both financial and non-financial factors and will consider:</w:t>
      </w:r>
    </w:p>
    <w:p w14:paraId="3529CF7A" w14:textId="7CC0DA36"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14:paraId="20095E61"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14:paraId="227667A9"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14:paraId="33738F9E" w14:textId="77777777" w:rsidR="009165B6" w:rsidRPr="00167279" w:rsidRDefault="009165B6" w:rsidP="00C75FBA">
      <w:pPr>
        <w:jc w:val="both"/>
        <w:rPr>
          <w:rFonts w:cs="Arial"/>
          <w:szCs w:val="24"/>
        </w:rPr>
      </w:pPr>
      <w:r w:rsidRPr="00167279">
        <w:rPr>
          <w:rFonts w:cs="Arial"/>
          <w:szCs w:val="24"/>
        </w:rPr>
        <w:t xml:space="preserve">Failure to provide a satisfactory response to any of the questions may result in </w:t>
      </w:r>
      <w:r w:rsidR="004872CB" w:rsidRPr="00167279">
        <w:rPr>
          <w:rFonts w:cs="Arial"/>
          <w:szCs w:val="24"/>
        </w:rPr>
        <w:t xml:space="preserve">Blue Orchid </w:t>
      </w:r>
      <w:r w:rsidRPr="00167279">
        <w:rPr>
          <w:rFonts w:cs="Arial"/>
          <w:szCs w:val="24"/>
        </w:rPr>
        <w:t xml:space="preserve">not proceeding further with the supplier. </w:t>
      </w:r>
    </w:p>
    <w:p w14:paraId="73597657" w14:textId="77777777" w:rsidR="009165B6" w:rsidRPr="00167279" w:rsidRDefault="009165B6" w:rsidP="00C75FBA">
      <w:pPr>
        <w:jc w:val="both"/>
        <w:rPr>
          <w:rFonts w:cs="Arial"/>
          <w:szCs w:val="24"/>
        </w:rPr>
      </w:pPr>
      <w:r w:rsidRPr="00167279">
        <w:rPr>
          <w:rFonts w:cs="Arial"/>
          <w:szCs w:val="24"/>
        </w:rPr>
        <w:t xml:space="preserve">The information supplied will be checked for completeness and compliance before responses are evaluated. </w:t>
      </w:r>
    </w:p>
    <w:p w14:paraId="4A1DCE8F" w14:textId="77777777" w:rsidR="009165B6" w:rsidRPr="00167279" w:rsidRDefault="009165B6" w:rsidP="00B206D1">
      <w:pPr>
        <w:jc w:val="both"/>
        <w:rPr>
          <w:rFonts w:cs="Arial"/>
          <w:color w:val="000000"/>
          <w:szCs w:val="24"/>
        </w:rPr>
      </w:pPr>
      <w:r w:rsidRPr="00167279">
        <w:rPr>
          <w:rFonts w:cs="Arial"/>
          <w:szCs w:val="24"/>
        </w:rPr>
        <w:t xml:space="preserve">Evaluation of subsequent stages will be undertaken in accordance with the overall Evaluation Strategy for the project. The </w:t>
      </w:r>
      <w:proofErr w:type="gramStart"/>
      <w:r w:rsidRPr="00167279">
        <w:rPr>
          <w:rFonts w:cs="Arial"/>
          <w:szCs w:val="24"/>
        </w:rPr>
        <w:t>high level</w:t>
      </w:r>
      <w:proofErr w:type="gramEnd"/>
      <w:r w:rsidRPr="00167279">
        <w:rPr>
          <w:rFonts w:cs="Arial"/>
          <w:szCs w:val="24"/>
        </w:rPr>
        <w:t xml:space="preserve"> Evaluation Criteria for the project are as follows: </w:t>
      </w:r>
      <w:r w:rsidRPr="00167279">
        <w:rPr>
          <w:rFonts w:cs="Arial"/>
          <w:color w:val="000000"/>
          <w:szCs w:val="24"/>
        </w:rPr>
        <w:t>Specification compliance/ acceptable alternative</w:t>
      </w:r>
      <w:r w:rsidR="00B206D1">
        <w:rPr>
          <w:rFonts w:cs="Arial"/>
          <w:color w:val="000000"/>
          <w:szCs w:val="24"/>
        </w:rPr>
        <w:t xml:space="preserve">; </w:t>
      </w:r>
      <w:r w:rsidRPr="00167279">
        <w:rPr>
          <w:rFonts w:cs="Arial"/>
          <w:color w:val="000000"/>
          <w:szCs w:val="24"/>
        </w:rPr>
        <w:t>Technical criteria</w:t>
      </w:r>
      <w:r w:rsidR="00B206D1">
        <w:rPr>
          <w:rFonts w:cs="Arial"/>
          <w:color w:val="000000"/>
          <w:szCs w:val="24"/>
        </w:rPr>
        <w:t xml:space="preserve"> and </w:t>
      </w:r>
      <w:r w:rsidRPr="00167279">
        <w:rPr>
          <w:rFonts w:cs="Arial"/>
          <w:color w:val="000000"/>
          <w:szCs w:val="24"/>
        </w:rPr>
        <w:t xml:space="preserve">Service Provision </w:t>
      </w:r>
    </w:p>
    <w:p w14:paraId="748A0D9A" w14:textId="77777777" w:rsidR="009165B6" w:rsidRPr="00167279" w:rsidRDefault="004872CB" w:rsidP="00C75FBA">
      <w:pPr>
        <w:jc w:val="both"/>
        <w:rPr>
          <w:rFonts w:cs="Arial"/>
          <w:szCs w:val="24"/>
        </w:rPr>
      </w:pPr>
      <w:r w:rsidRPr="00167279">
        <w:rPr>
          <w:rFonts w:cs="Arial"/>
          <w:szCs w:val="24"/>
        </w:rPr>
        <w:t xml:space="preserve">Blue Orchid </w:t>
      </w:r>
      <w:r w:rsidR="009165B6" w:rsidRPr="00167279">
        <w:rPr>
          <w:rFonts w:cs="Arial"/>
          <w:szCs w:val="24"/>
        </w:rPr>
        <w:t xml:space="preserve">will evaluate all proposals </w:t>
      </w:r>
      <w:proofErr w:type="gramStart"/>
      <w:r w:rsidR="009165B6" w:rsidRPr="00167279">
        <w:rPr>
          <w:rFonts w:cs="Arial"/>
          <w:szCs w:val="24"/>
        </w:rPr>
        <w:t>on the basis of</w:t>
      </w:r>
      <w:proofErr w:type="gramEnd"/>
      <w:r w:rsidR="009165B6" w:rsidRPr="00167279">
        <w:rPr>
          <w:rFonts w:cs="Arial"/>
          <w:szCs w:val="24"/>
        </w:rPr>
        <w:t xml:space="preserve"> the “most economically advantageous proposal”.</w:t>
      </w:r>
    </w:p>
    <w:p w14:paraId="6F38BBFD" w14:textId="77777777" w:rsidR="0072364E" w:rsidRPr="00167279" w:rsidRDefault="009165B6" w:rsidP="00C75FBA">
      <w:pPr>
        <w:jc w:val="both"/>
        <w:rPr>
          <w:rFonts w:cs="Arial"/>
          <w:szCs w:val="24"/>
        </w:rPr>
      </w:pPr>
      <w:r w:rsidRPr="00167279">
        <w:rPr>
          <w:rFonts w:cs="Arial"/>
          <w:szCs w:val="24"/>
        </w:rPr>
        <w:t xml:space="preserve">The overall evaluation process will be conducted in a fair and equitable manner, so that </w:t>
      </w:r>
      <w:r w:rsidR="004872CB" w:rsidRPr="00167279">
        <w:rPr>
          <w:rFonts w:cs="Arial"/>
          <w:szCs w:val="24"/>
        </w:rPr>
        <w:t xml:space="preserve">Blue Orchid </w:t>
      </w:r>
      <w:r w:rsidRPr="00167279">
        <w:rPr>
          <w:rFonts w:cs="Arial"/>
          <w:szCs w:val="24"/>
        </w:rPr>
        <w:t xml:space="preserve">is able to consider the value for money of each proposal. </w:t>
      </w:r>
      <w:r w:rsidR="004872CB" w:rsidRPr="00167279">
        <w:rPr>
          <w:rFonts w:cs="Arial"/>
          <w:szCs w:val="24"/>
        </w:rPr>
        <w:t xml:space="preserve"> </w:t>
      </w:r>
      <w:r w:rsidRPr="00167279">
        <w:rPr>
          <w:rFonts w:cs="Arial"/>
          <w:szCs w:val="24"/>
        </w:rPr>
        <w:t xml:space="preserve">This means that different clarification/information may be sought from different applicants. </w:t>
      </w:r>
    </w:p>
    <w:p w14:paraId="6E90BA3D" w14:textId="13949756" w:rsidR="00C75FBA" w:rsidRDefault="0072364E" w:rsidP="009C3896">
      <w:pPr>
        <w:pStyle w:val="Title"/>
      </w:pPr>
      <w:r>
        <w:br w:type="page"/>
      </w:r>
      <w:r w:rsidR="00C75FBA">
        <w:lastRenderedPageBreak/>
        <w:t>PART B: REsponse Section</w:t>
      </w:r>
    </w:p>
    <w:tbl>
      <w:tblPr>
        <w:tblW w:w="9947" w:type="dxa"/>
        <w:tblInd w:w="-313" w:type="dxa"/>
        <w:tblBorders>
          <w:top w:val="nil"/>
          <w:left w:val="nil"/>
          <w:bottom w:val="nil"/>
          <w:right w:val="nil"/>
        </w:tblBorders>
        <w:tblLayout w:type="fixed"/>
        <w:tblLook w:val="0000" w:firstRow="0" w:lastRow="0" w:firstColumn="0" w:lastColumn="0" w:noHBand="0" w:noVBand="0"/>
      </w:tblPr>
      <w:tblGrid>
        <w:gridCol w:w="236"/>
        <w:gridCol w:w="2057"/>
        <w:gridCol w:w="1022"/>
        <w:gridCol w:w="1529"/>
        <w:gridCol w:w="2268"/>
        <w:gridCol w:w="2835"/>
      </w:tblGrid>
      <w:tr w:rsidR="006F60CE" w14:paraId="7F7BBA03" w14:textId="77777777" w:rsidTr="00C3488E">
        <w:trPr>
          <w:trHeight w:val="208"/>
        </w:trPr>
        <w:tc>
          <w:tcPr>
            <w:tcW w:w="994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52CC7E" w14:textId="77777777" w:rsidR="006F60CE" w:rsidRPr="00F00C14" w:rsidRDefault="006F60CE" w:rsidP="00C3488E">
            <w:pPr>
              <w:rPr>
                <w:b/>
              </w:rPr>
            </w:pPr>
            <w:r w:rsidRPr="00F00C14">
              <w:rPr>
                <w:b/>
              </w:rPr>
              <w:t>Main Contact Person</w:t>
            </w:r>
          </w:p>
        </w:tc>
      </w:tr>
      <w:tr w:rsidR="006F60CE" w14:paraId="36699C03" w14:textId="77777777" w:rsidTr="00C3488E">
        <w:trPr>
          <w:trHeight w:val="208"/>
        </w:trPr>
        <w:tc>
          <w:tcPr>
            <w:tcW w:w="33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9C06CA" w14:textId="77777777" w:rsidR="006F60CE" w:rsidRDefault="006F60CE" w:rsidP="00C3488E">
            <w:pPr>
              <w:jc w:val="right"/>
            </w:pPr>
            <w:r>
              <w:t xml:space="preserve">Contact Name </w:t>
            </w:r>
          </w:p>
        </w:tc>
        <w:tc>
          <w:tcPr>
            <w:tcW w:w="6632" w:type="dxa"/>
            <w:gridSpan w:val="3"/>
            <w:tcBorders>
              <w:top w:val="single" w:sz="4" w:space="0" w:color="auto"/>
              <w:left w:val="single" w:sz="4" w:space="0" w:color="auto"/>
              <w:bottom w:val="single" w:sz="4" w:space="0" w:color="auto"/>
              <w:right w:val="single" w:sz="4" w:space="0" w:color="auto"/>
            </w:tcBorders>
          </w:tcPr>
          <w:p w14:paraId="24BD5D69" w14:textId="77777777" w:rsidR="006F60CE" w:rsidRDefault="006F60CE" w:rsidP="00C3488E"/>
          <w:p w14:paraId="0FB53973" w14:textId="77777777" w:rsidR="006F60CE" w:rsidRDefault="006F60CE" w:rsidP="00C3488E"/>
        </w:tc>
      </w:tr>
      <w:tr w:rsidR="006F60CE" w14:paraId="7158C290" w14:textId="77777777" w:rsidTr="00C3488E">
        <w:trPr>
          <w:trHeight w:val="208"/>
        </w:trPr>
        <w:tc>
          <w:tcPr>
            <w:tcW w:w="33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2F184" w14:textId="77777777" w:rsidR="006F60CE" w:rsidRDefault="006F60CE" w:rsidP="00C3488E">
            <w:pPr>
              <w:jc w:val="right"/>
            </w:pPr>
            <w:r>
              <w:t xml:space="preserve">Contact Email </w:t>
            </w:r>
          </w:p>
        </w:tc>
        <w:tc>
          <w:tcPr>
            <w:tcW w:w="6632" w:type="dxa"/>
            <w:gridSpan w:val="3"/>
            <w:tcBorders>
              <w:top w:val="single" w:sz="4" w:space="0" w:color="auto"/>
              <w:left w:val="single" w:sz="4" w:space="0" w:color="auto"/>
              <w:bottom w:val="single" w:sz="4" w:space="0" w:color="auto"/>
              <w:right w:val="single" w:sz="4" w:space="0" w:color="auto"/>
            </w:tcBorders>
          </w:tcPr>
          <w:p w14:paraId="00228A72" w14:textId="77777777" w:rsidR="006F60CE" w:rsidRDefault="006F60CE" w:rsidP="00C3488E"/>
          <w:p w14:paraId="7C4800EF" w14:textId="73863EC2" w:rsidR="00A06BE6" w:rsidRDefault="00A06BE6" w:rsidP="00C3488E"/>
        </w:tc>
      </w:tr>
      <w:tr w:rsidR="006F60CE" w14:paraId="6D030554" w14:textId="77777777" w:rsidTr="00C3488E">
        <w:trPr>
          <w:trHeight w:val="208"/>
        </w:trPr>
        <w:tc>
          <w:tcPr>
            <w:tcW w:w="33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D0452" w14:textId="77777777" w:rsidR="006F60CE" w:rsidRDefault="006F60CE" w:rsidP="00C3488E">
            <w:pPr>
              <w:jc w:val="right"/>
            </w:pPr>
            <w:r>
              <w:t>Contact Telephone</w:t>
            </w:r>
          </w:p>
        </w:tc>
        <w:tc>
          <w:tcPr>
            <w:tcW w:w="6632" w:type="dxa"/>
            <w:gridSpan w:val="3"/>
            <w:tcBorders>
              <w:top w:val="single" w:sz="4" w:space="0" w:color="auto"/>
              <w:left w:val="single" w:sz="4" w:space="0" w:color="auto"/>
              <w:bottom w:val="single" w:sz="4" w:space="0" w:color="auto"/>
              <w:right w:val="single" w:sz="4" w:space="0" w:color="auto"/>
            </w:tcBorders>
          </w:tcPr>
          <w:p w14:paraId="5B0BC149" w14:textId="77777777" w:rsidR="006F60CE" w:rsidRDefault="006F60CE" w:rsidP="00C3488E"/>
        </w:tc>
      </w:tr>
      <w:tr w:rsidR="006F60CE" w14:paraId="49949486" w14:textId="77777777" w:rsidTr="00C3488E">
        <w:trPr>
          <w:trHeight w:val="208"/>
        </w:trPr>
        <w:tc>
          <w:tcPr>
            <w:tcW w:w="994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0525D" w14:textId="77777777" w:rsidR="006F60CE" w:rsidRPr="00F00C14" w:rsidRDefault="006F60CE" w:rsidP="00C3488E">
            <w:pPr>
              <w:rPr>
                <w:b/>
              </w:rPr>
            </w:pPr>
            <w:r w:rsidRPr="00F00C14">
              <w:rPr>
                <w:b/>
              </w:rPr>
              <w:t xml:space="preserve">Venue Details </w:t>
            </w:r>
          </w:p>
        </w:tc>
      </w:tr>
      <w:tr w:rsidR="006F60CE" w14:paraId="0D904CC1" w14:textId="77777777" w:rsidTr="00C3488E">
        <w:trPr>
          <w:trHeight w:val="208"/>
        </w:trPr>
        <w:tc>
          <w:tcPr>
            <w:tcW w:w="33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12B13E" w14:textId="77777777" w:rsidR="006F60CE" w:rsidRDefault="006F60CE" w:rsidP="00C3488E">
            <w:pPr>
              <w:jc w:val="right"/>
            </w:pPr>
            <w:r>
              <w:t xml:space="preserve">Venue Name </w:t>
            </w:r>
          </w:p>
        </w:tc>
        <w:tc>
          <w:tcPr>
            <w:tcW w:w="6632" w:type="dxa"/>
            <w:gridSpan w:val="3"/>
            <w:tcBorders>
              <w:top w:val="single" w:sz="4" w:space="0" w:color="auto"/>
              <w:left w:val="single" w:sz="4" w:space="0" w:color="auto"/>
              <w:bottom w:val="single" w:sz="4" w:space="0" w:color="auto"/>
              <w:right w:val="single" w:sz="4" w:space="0" w:color="auto"/>
            </w:tcBorders>
          </w:tcPr>
          <w:p w14:paraId="3C268C30" w14:textId="77777777" w:rsidR="006F60CE" w:rsidRDefault="006F60CE" w:rsidP="00C3488E"/>
          <w:p w14:paraId="2DDCE029" w14:textId="77777777" w:rsidR="006F60CE" w:rsidRDefault="006F60CE" w:rsidP="00C3488E"/>
        </w:tc>
      </w:tr>
      <w:tr w:rsidR="006F60CE" w14:paraId="25F2B0A7" w14:textId="77777777" w:rsidTr="0079609D">
        <w:trPr>
          <w:trHeight w:val="5130"/>
        </w:trPr>
        <w:tc>
          <w:tcPr>
            <w:tcW w:w="33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D4301" w14:textId="50788AB6" w:rsidR="006F60CE" w:rsidRDefault="006F60CE" w:rsidP="00C3488E">
            <w:pPr>
              <w:jc w:val="right"/>
            </w:pPr>
            <w:r>
              <w:t>Venue Address</w:t>
            </w:r>
          </w:p>
        </w:tc>
        <w:tc>
          <w:tcPr>
            <w:tcW w:w="6632" w:type="dxa"/>
            <w:gridSpan w:val="3"/>
            <w:tcBorders>
              <w:top w:val="single" w:sz="4" w:space="0" w:color="auto"/>
              <w:left w:val="single" w:sz="4" w:space="0" w:color="auto"/>
              <w:bottom w:val="single" w:sz="4" w:space="0" w:color="auto"/>
              <w:right w:val="single" w:sz="4" w:space="0" w:color="auto"/>
            </w:tcBorders>
          </w:tcPr>
          <w:p w14:paraId="316AC4AF" w14:textId="77777777" w:rsidR="006F60CE" w:rsidRDefault="006F60CE" w:rsidP="00C3488E"/>
          <w:p w14:paraId="6808417E" w14:textId="77777777" w:rsidR="006F60CE" w:rsidRDefault="006F60CE" w:rsidP="00C3488E"/>
          <w:p w14:paraId="1FC56966" w14:textId="77777777" w:rsidR="006F60CE" w:rsidRDefault="006F60CE" w:rsidP="00C3488E"/>
          <w:p w14:paraId="1F52B927" w14:textId="77777777" w:rsidR="006F60CE" w:rsidRDefault="006F60CE" w:rsidP="00C3488E"/>
          <w:p w14:paraId="657C0F8C" w14:textId="77777777" w:rsidR="00A06BE6" w:rsidRDefault="00A06BE6" w:rsidP="00C3488E"/>
          <w:p w14:paraId="7649E2D2" w14:textId="77777777" w:rsidR="00A06BE6" w:rsidRDefault="00A06BE6" w:rsidP="00C3488E"/>
          <w:p w14:paraId="1C4D3075" w14:textId="77777777" w:rsidR="00A06BE6" w:rsidRDefault="00A06BE6" w:rsidP="00C3488E"/>
          <w:p w14:paraId="7B757A40" w14:textId="77777777" w:rsidR="00A06BE6" w:rsidRDefault="00A06BE6" w:rsidP="00C3488E"/>
          <w:p w14:paraId="0F741640" w14:textId="4825F588" w:rsidR="00A06BE6" w:rsidRDefault="00A06BE6" w:rsidP="00C3488E"/>
          <w:p w14:paraId="73492C22" w14:textId="592F18C0" w:rsidR="00A06BE6" w:rsidRDefault="00A06BE6" w:rsidP="00C3488E"/>
          <w:p w14:paraId="736933BC" w14:textId="07CEB062" w:rsidR="00A06BE6" w:rsidRDefault="00A06BE6" w:rsidP="00C3488E"/>
        </w:tc>
      </w:tr>
      <w:tr w:rsidR="0079609D" w14:paraId="1FAD8CA3" w14:textId="77777777" w:rsidTr="003A0B78">
        <w:trPr>
          <w:trHeight w:val="1695"/>
        </w:trPr>
        <w:tc>
          <w:tcPr>
            <w:tcW w:w="99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E3802" w14:textId="77777777" w:rsidR="0079609D" w:rsidRDefault="0079609D" w:rsidP="00C3488E">
            <w:pPr>
              <w:jc w:val="right"/>
            </w:pPr>
            <w:r>
              <w:t xml:space="preserve"> </w:t>
            </w:r>
          </w:p>
          <w:p w14:paraId="37A7AB4D" w14:textId="138EA83F" w:rsidR="0079609D" w:rsidRPr="0079609D" w:rsidRDefault="0079609D" w:rsidP="0079609D">
            <w:pPr>
              <w:jc w:val="center"/>
              <w:rPr>
                <w:b/>
                <w:bCs/>
                <w:sz w:val="32"/>
                <w:szCs w:val="32"/>
              </w:rPr>
            </w:pPr>
            <w:r w:rsidRPr="0079609D">
              <w:rPr>
                <w:b/>
                <w:bCs/>
                <w:sz w:val="32"/>
                <w:szCs w:val="32"/>
              </w:rPr>
              <w:t>Applicants may request to deliver in more than one location</w:t>
            </w:r>
          </w:p>
          <w:p w14:paraId="42EEE1C8" w14:textId="59F99AD7" w:rsidR="0079609D" w:rsidRDefault="0079609D" w:rsidP="00C3488E"/>
          <w:p w14:paraId="57B603F2" w14:textId="77777777" w:rsidR="0079609D" w:rsidRDefault="0079609D" w:rsidP="00C3488E"/>
          <w:p w14:paraId="559A68A6" w14:textId="62D93C65" w:rsidR="0079609D" w:rsidRDefault="0079609D" w:rsidP="00C3488E"/>
        </w:tc>
      </w:tr>
      <w:tr w:rsidR="006F60CE" w14:paraId="162DB96D" w14:textId="77777777" w:rsidTr="0079609D">
        <w:trPr>
          <w:trHeight w:val="410"/>
        </w:trPr>
        <w:tc>
          <w:tcPr>
            <w:tcW w:w="236" w:type="dxa"/>
            <w:vMerge w:val="restart"/>
            <w:tcBorders>
              <w:top w:val="single" w:sz="4" w:space="0" w:color="auto"/>
              <w:left w:val="single" w:sz="4" w:space="0" w:color="auto"/>
              <w:right w:val="single" w:sz="4" w:space="0" w:color="auto"/>
            </w:tcBorders>
            <w:shd w:val="clear" w:color="auto" w:fill="FDE9D9" w:themeFill="accent6" w:themeFillTint="33"/>
            <w:vAlign w:val="center"/>
          </w:tcPr>
          <w:p w14:paraId="13993F4A" w14:textId="77777777" w:rsidR="006F60CE" w:rsidRDefault="006F60CE" w:rsidP="00C3488E">
            <w:pPr>
              <w:jc w:val="center"/>
            </w:pPr>
          </w:p>
        </w:tc>
        <w:tc>
          <w:tcPr>
            <w:tcW w:w="20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1DB260" w14:textId="77777777" w:rsidR="006F60CE" w:rsidRDefault="006F60CE" w:rsidP="00C3488E">
            <w:pPr>
              <w:jc w:val="center"/>
            </w:pPr>
            <w:r>
              <w:t>Local Authority</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510B6F" w14:textId="18F8652D" w:rsidR="006F60CE" w:rsidRDefault="00D96905" w:rsidP="00C3488E">
            <w:pPr>
              <w:jc w:val="center"/>
            </w:pPr>
            <w:r>
              <w:t xml:space="preserve">Example </w:t>
            </w:r>
            <w:r w:rsidR="0079609D">
              <w:t xml:space="preserve">of </w:t>
            </w:r>
            <w:r w:rsidR="006F60CE">
              <w:t>Sub District</w:t>
            </w:r>
            <w:r w:rsidR="0079609D">
              <w:t>s</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304CDB" w14:textId="77777777" w:rsidR="006F60CE" w:rsidRDefault="006F60CE" w:rsidP="00C3488E">
            <w:pPr>
              <w:jc w:val="center"/>
            </w:pPr>
            <w:r>
              <w:t>Tender Area</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B27F15" w14:textId="77777777" w:rsidR="0079609D" w:rsidRDefault="006F60CE" w:rsidP="00C3488E">
            <w:pPr>
              <w:jc w:val="center"/>
            </w:pPr>
            <w:r>
              <w:t>Tender Locations</w:t>
            </w:r>
            <w:r w:rsidR="0079609D">
              <w:t xml:space="preserve"> </w:t>
            </w:r>
          </w:p>
          <w:p w14:paraId="73015BDA" w14:textId="43142530" w:rsidR="006F60CE" w:rsidRDefault="0079609D" w:rsidP="00C3488E">
            <w:pPr>
              <w:jc w:val="center"/>
            </w:pPr>
            <w:r>
              <w:t>TICK BOX IF WISH TO BE CONSIDERED FOR EACH AREA</w:t>
            </w:r>
          </w:p>
        </w:tc>
      </w:tr>
      <w:tr w:rsidR="0079609D" w14:paraId="6258EA4E"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vAlign w:val="center"/>
          </w:tcPr>
          <w:p w14:paraId="732F4E8E" w14:textId="77777777" w:rsidR="0079609D" w:rsidRDefault="0079609D" w:rsidP="0079609D">
            <w:pPr>
              <w:jc w:val="center"/>
            </w:pPr>
          </w:p>
        </w:tc>
        <w:tc>
          <w:tcPr>
            <w:tcW w:w="2057" w:type="dxa"/>
            <w:vMerge w:val="restart"/>
            <w:tcBorders>
              <w:top w:val="single" w:sz="4" w:space="0" w:color="auto"/>
              <w:left w:val="single" w:sz="4" w:space="0" w:color="auto"/>
              <w:right w:val="single" w:sz="4" w:space="0" w:color="auto"/>
            </w:tcBorders>
            <w:vAlign w:val="center"/>
          </w:tcPr>
          <w:p w14:paraId="78E5941F" w14:textId="77777777" w:rsidR="0079609D" w:rsidRDefault="0079609D" w:rsidP="0079609D">
            <w:pPr>
              <w:jc w:val="center"/>
            </w:pPr>
            <w:r>
              <w:t>Cheshire East</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A7050E4" w14:textId="77777777" w:rsidR="0079609D" w:rsidRDefault="0079609D" w:rsidP="0079609D">
            <w:pPr>
              <w:jc w:val="center"/>
            </w:pPr>
            <w:r>
              <w:t>Macclesfield</w:t>
            </w:r>
          </w:p>
        </w:tc>
        <w:tc>
          <w:tcPr>
            <w:tcW w:w="2268" w:type="dxa"/>
            <w:vMerge w:val="restart"/>
            <w:tcBorders>
              <w:top w:val="single" w:sz="4" w:space="0" w:color="auto"/>
              <w:left w:val="single" w:sz="4" w:space="0" w:color="auto"/>
              <w:right w:val="single" w:sz="4" w:space="0" w:color="auto"/>
            </w:tcBorders>
            <w:vAlign w:val="center"/>
          </w:tcPr>
          <w:p w14:paraId="79F5A191" w14:textId="77777777" w:rsidR="0079609D" w:rsidRPr="0079609D" w:rsidRDefault="0079609D" w:rsidP="0079609D">
            <w:pPr>
              <w:jc w:val="center"/>
              <w:rPr>
                <w:b/>
                <w:bCs/>
              </w:rPr>
            </w:pPr>
            <w:r w:rsidRPr="0079609D">
              <w:rPr>
                <w:b/>
                <w:bCs/>
              </w:rPr>
              <w:t>Northern part of Cheshire East</w:t>
            </w:r>
          </w:p>
          <w:p w14:paraId="61DBF665" w14:textId="5F442465" w:rsidR="0079609D" w:rsidRPr="0079609D" w:rsidRDefault="0079609D" w:rsidP="0079609D">
            <w:pPr>
              <w:jc w:val="center"/>
              <w:rPr>
                <w:b/>
                <w:bCs/>
              </w:rPr>
            </w:pPr>
            <w:r w:rsidRPr="0079609D">
              <w:rPr>
                <w:b/>
                <w:bCs/>
              </w:rPr>
              <w:t>Location 1</w:t>
            </w:r>
          </w:p>
        </w:tc>
        <w:tc>
          <w:tcPr>
            <w:tcW w:w="2835" w:type="dxa"/>
            <w:vMerge w:val="restart"/>
            <w:tcBorders>
              <w:top w:val="single" w:sz="4" w:space="0" w:color="auto"/>
              <w:left w:val="single" w:sz="4" w:space="0" w:color="auto"/>
              <w:right w:val="single" w:sz="4" w:space="0" w:color="auto"/>
            </w:tcBorders>
            <w:vAlign w:val="center"/>
          </w:tcPr>
          <w:p w14:paraId="4E886A0A" w14:textId="73B7F288" w:rsidR="0079609D" w:rsidRDefault="0079609D" w:rsidP="0079609D">
            <w:pPr>
              <w:jc w:val="center"/>
            </w:pPr>
          </w:p>
        </w:tc>
      </w:tr>
      <w:tr w:rsidR="0079609D" w14:paraId="1CBC65A6"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0821A907"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0E5E1A3B" w14:textId="0DA0826C"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B21151C" w14:textId="4FA9D5E6" w:rsidR="0079609D" w:rsidRDefault="0079609D" w:rsidP="0079609D">
            <w:pPr>
              <w:jc w:val="center"/>
            </w:pPr>
            <w:r>
              <w:t>Northwich</w:t>
            </w:r>
          </w:p>
        </w:tc>
        <w:tc>
          <w:tcPr>
            <w:tcW w:w="2268" w:type="dxa"/>
            <w:vMerge/>
            <w:tcBorders>
              <w:left w:val="single" w:sz="4" w:space="0" w:color="auto"/>
              <w:right w:val="single" w:sz="4" w:space="0" w:color="auto"/>
            </w:tcBorders>
            <w:vAlign w:val="center"/>
          </w:tcPr>
          <w:p w14:paraId="4F33BE8B" w14:textId="77777777" w:rsidR="0079609D" w:rsidRPr="0079609D" w:rsidRDefault="0079609D" w:rsidP="0079609D">
            <w:pPr>
              <w:jc w:val="center"/>
              <w:rPr>
                <w:b/>
                <w:bCs/>
              </w:rPr>
            </w:pPr>
          </w:p>
        </w:tc>
        <w:tc>
          <w:tcPr>
            <w:tcW w:w="2835" w:type="dxa"/>
            <w:vMerge/>
            <w:tcBorders>
              <w:left w:val="single" w:sz="4" w:space="0" w:color="auto"/>
              <w:right w:val="single" w:sz="4" w:space="0" w:color="auto"/>
            </w:tcBorders>
            <w:vAlign w:val="center"/>
          </w:tcPr>
          <w:p w14:paraId="0F21BF81" w14:textId="77777777" w:rsidR="0079609D" w:rsidRDefault="0079609D" w:rsidP="0079609D">
            <w:pPr>
              <w:jc w:val="center"/>
            </w:pPr>
          </w:p>
        </w:tc>
      </w:tr>
      <w:tr w:rsidR="0079609D" w14:paraId="5022B32F"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0294441C"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0D059F7F" w14:textId="61B81E5B"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BC47CE5" w14:textId="4EEE9F21" w:rsidR="0079609D" w:rsidRDefault="0079609D" w:rsidP="0079609D">
            <w:pPr>
              <w:jc w:val="center"/>
            </w:pPr>
            <w:r>
              <w:t>Winsford</w:t>
            </w:r>
          </w:p>
        </w:tc>
        <w:tc>
          <w:tcPr>
            <w:tcW w:w="2268" w:type="dxa"/>
            <w:vMerge/>
            <w:tcBorders>
              <w:left w:val="single" w:sz="4" w:space="0" w:color="auto"/>
              <w:right w:val="single" w:sz="4" w:space="0" w:color="auto"/>
            </w:tcBorders>
            <w:vAlign w:val="center"/>
          </w:tcPr>
          <w:p w14:paraId="2BF818AD" w14:textId="77777777" w:rsidR="0079609D" w:rsidRPr="0079609D" w:rsidRDefault="0079609D" w:rsidP="0079609D">
            <w:pPr>
              <w:jc w:val="center"/>
              <w:rPr>
                <w:b/>
                <w:bCs/>
              </w:rPr>
            </w:pPr>
          </w:p>
        </w:tc>
        <w:tc>
          <w:tcPr>
            <w:tcW w:w="2835" w:type="dxa"/>
            <w:vMerge/>
            <w:tcBorders>
              <w:left w:val="single" w:sz="4" w:space="0" w:color="auto"/>
              <w:right w:val="single" w:sz="4" w:space="0" w:color="auto"/>
            </w:tcBorders>
            <w:vAlign w:val="center"/>
          </w:tcPr>
          <w:p w14:paraId="67D777FA" w14:textId="77777777" w:rsidR="0079609D" w:rsidRDefault="0079609D" w:rsidP="0079609D">
            <w:pPr>
              <w:jc w:val="center"/>
            </w:pPr>
          </w:p>
        </w:tc>
      </w:tr>
      <w:tr w:rsidR="0079609D" w14:paraId="697AE29C"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5E40EFE2"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7C3F9AD2" w14:textId="6F7180F1"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F2375CF" w14:textId="01EC61DA" w:rsidR="0079609D" w:rsidRDefault="0079609D" w:rsidP="0079609D">
            <w:pPr>
              <w:jc w:val="center"/>
            </w:pPr>
            <w:r>
              <w:t>Hartford</w:t>
            </w:r>
          </w:p>
        </w:tc>
        <w:tc>
          <w:tcPr>
            <w:tcW w:w="2268" w:type="dxa"/>
            <w:vMerge/>
            <w:tcBorders>
              <w:left w:val="single" w:sz="4" w:space="0" w:color="auto"/>
              <w:right w:val="single" w:sz="4" w:space="0" w:color="auto"/>
            </w:tcBorders>
            <w:vAlign w:val="center"/>
          </w:tcPr>
          <w:p w14:paraId="7E6B4210" w14:textId="77777777" w:rsidR="0079609D" w:rsidRPr="0079609D" w:rsidRDefault="0079609D" w:rsidP="0079609D">
            <w:pPr>
              <w:jc w:val="center"/>
              <w:rPr>
                <w:b/>
                <w:bCs/>
              </w:rPr>
            </w:pPr>
          </w:p>
        </w:tc>
        <w:tc>
          <w:tcPr>
            <w:tcW w:w="2835" w:type="dxa"/>
            <w:vMerge/>
            <w:tcBorders>
              <w:left w:val="single" w:sz="4" w:space="0" w:color="auto"/>
              <w:right w:val="single" w:sz="4" w:space="0" w:color="auto"/>
            </w:tcBorders>
            <w:vAlign w:val="center"/>
          </w:tcPr>
          <w:p w14:paraId="73D26508" w14:textId="77777777" w:rsidR="0079609D" w:rsidRDefault="0079609D" w:rsidP="0079609D">
            <w:pPr>
              <w:jc w:val="center"/>
            </w:pPr>
          </w:p>
        </w:tc>
      </w:tr>
      <w:tr w:rsidR="0079609D" w14:paraId="51351B02"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2A545A82" w14:textId="77777777" w:rsidR="0079609D" w:rsidRDefault="0079609D" w:rsidP="0079609D">
            <w:pPr>
              <w:jc w:val="right"/>
            </w:pPr>
          </w:p>
        </w:tc>
        <w:tc>
          <w:tcPr>
            <w:tcW w:w="2057" w:type="dxa"/>
            <w:vMerge/>
            <w:tcBorders>
              <w:left w:val="single" w:sz="4" w:space="0" w:color="auto"/>
              <w:bottom w:val="single" w:sz="4" w:space="0" w:color="auto"/>
              <w:right w:val="single" w:sz="4" w:space="0" w:color="auto"/>
            </w:tcBorders>
            <w:vAlign w:val="center"/>
          </w:tcPr>
          <w:p w14:paraId="0120ECEB" w14:textId="706C8F5D"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72DB5FB" w14:textId="77777777" w:rsidR="0079609D" w:rsidRDefault="0079609D" w:rsidP="0079609D">
            <w:pPr>
              <w:jc w:val="center"/>
            </w:pPr>
            <w:r>
              <w:t>Knutsford</w:t>
            </w:r>
          </w:p>
        </w:tc>
        <w:tc>
          <w:tcPr>
            <w:tcW w:w="2268" w:type="dxa"/>
            <w:vMerge/>
            <w:tcBorders>
              <w:left w:val="single" w:sz="4" w:space="0" w:color="auto"/>
              <w:bottom w:val="single" w:sz="4" w:space="0" w:color="auto"/>
              <w:right w:val="single" w:sz="4" w:space="0" w:color="auto"/>
            </w:tcBorders>
            <w:vAlign w:val="center"/>
          </w:tcPr>
          <w:p w14:paraId="5FAB4A61" w14:textId="77777777" w:rsidR="0079609D" w:rsidRPr="0079609D" w:rsidRDefault="0079609D" w:rsidP="0079609D">
            <w:pPr>
              <w:jc w:val="center"/>
              <w:rPr>
                <w:b/>
                <w:bCs/>
              </w:rPr>
            </w:pPr>
          </w:p>
        </w:tc>
        <w:tc>
          <w:tcPr>
            <w:tcW w:w="2835" w:type="dxa"/>
            <w:vMerge/>
            <w:tcBorders>
              <w:left w:val="single" w:sz="4" w:space="0" w:color="auto"/>
              <w:bottom w:val="single" w:sz="4" w:space="0" w:color="auto"/>
              <w:right w:val="single" w:sz="4" w:space="0" w:color="auto"/>
            </w:tcBorders>
            <w:vAlign w:val="center"/>
          </w:tcPr>
          <w:p w14:paraId="49515BA1" w14:textId="77777777" w:rsidR="0079609D" w:rsidRDefault="0079609D" w:rsidP="0079609D">
            <w:pPr>
              <w:jc w:val="center"/>
            </w:pPr>
          </w:p>
        </w:tc>
      </w:tr>
      <w:tr w:rsidR="0079609D" w14:paraId="7818C26C"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7D5A0EAA" w14:textId="77777777" w:rsidR="0079609D" w:rsidRDefault="0079609D" w:rsidP="0079609D">
            <w:pPr>
              <w:jc w:val="right"/>
            </w:pPr>
          </w:p>
        </w:tc>
        <w:tc>
          <w:tcPr>
            <w:tcW w:w="2057" w:type="dxa"/>
            <w:vMerge w:val="restart"/>
            <w:tcBorders>
              <w:top w:val="single" w:sz="4" w:space="0" w:color="auto"/>
              <w:left w:val="single" w:sz="4" w:space="0" w:color="auto"/>
              <w:right w:val="single" w:sz="4" w:space="0" w:color="auto"/>
            </w:tcBorders>
            <w:vAlign w:val="center"/>
          </w:tcPr>
          <w:p w14:paraId="02F18207" w14:textId="77777777" w:rsidR="0079609D" w:rsidRDefault="0079609D" w:rsidP="0079609D">
            <w:pPr>
              <w:jc w:val="center"/>
            </w:pPr>
            <w:r>
              <w:t>Cheshire East</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615FA2C" w14:textId="0C4C6F81" w:rsidR="0079609D" w:rsidRDefault="0079609D" w:rsidP="0079609D">
            <w:pPr>
              <w:jc w:val="center"/>
            </w:pPr>
            <w:r>
              <w:t>Crewe</w:t>
            </w:r>
          </w:p>
        </w:tc>
        <w:tc>
          <w:tcPr>
            <w:tcW w:w="2268" w:type="dxa"/>
            <w:vMerge w:val="restart"/>
            <w:tcBorders>
              <w:top w:val="single" w:sz="4" w:space="0" w:color="auto"/>
              <w:left w:val="single" w:sz="4" w:space="0" w:color="auto"/>
              <w:right w:val="single" w:sz="4" w:space="0" w:color="auto"/>
            </w:tcBorders>
            <w:vAlign w:val="center"/>
          </w:tcPr>
          <w:p w14:paraId="5435261C" w14:textId="77777777" w:rsidR="0079609D" w:rsidRPr="0079609D" w:rsidRDefault="0079609D" w:rsidP="0079609D">
            <w:pPr>
              <w:jc w:val="center"/>
              <w:rPr>
                <w:b/>
                <w:bCs/>
              </w:rPr>
            </w:pPr>
            <w:r w:rsidRPr="0079609D">
              <w:rPr>
                <w:b/>
                <w:bCs/>
              </w:rPr>
              <w:t>Southern part of Cheshire East</w:t>
            </w:r>
          </w:p>
          <w:p w14:paraId="142B233C" w14:textId="1603DDD6" w:rsidR="0079609D" w:rsidRPr="0079609D" w:rsidRDefault="0079609D" w:rsidP="0079609D">
            <w:pPr>
              <w:jc w:val="center"/>
              <w:rPr>
                <w:b/>
                <w:bCs/>
              </w:rPr>
            </w:pPr>
            <w:r w:rsidRPr="0079609D">
              <w:rPr>
                <w:b/>
                <w:bCs/>
              </w:rPr>
              <w:t>Location 2</w:t>
            </w:r>
          </w:p>
        </w:tc>
        <w:tc>
          <w:tcPr>
            <w:tcW w:w="2835" w:type="dxa"/>
            <w:vMerge w:val="restart"/>
            <w:tcBorders>
              <w:top w:val="single" w:sz="4" w:space="0" w:color="auto"/>
              <w:left w:val="single" w:sz="4" w:space="0" w:color="auto"/>
              <w:right w:val="single" w:sz="4" w:space="0" w:color="auto"/>
            </w:tcBorders>
            <w:vAlign w:val="center"/>
          </w:tcPr>
          <w:p w14:paraId="55F37693" w14:textId="3C2DABEB" w:rsidR="0079609D" w:rsidRDefault="0079609D" w:rsidP="0079609D">
            <w:pPr>
              <w:jc w:val="center"/>
            </w:pPr>
          </w:p>
        </w:tc>
      </w:tr>
      <w:tr w:rsidR="0079609D" w14:paraId="1CD68927"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68E7A9A9"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1A649F20" w14:textId="2D2CB638"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139433A" w14:textId="229C666E" w:rsidR="0079609D" w:rsidRDefault="0079609D" w:rsidP="0079609D">
            <w:pPr>
              <w:jc w:val="center"/>
            </w:pPr>
            <w:r>
              <w:t>Holmes Chapel</w:t>
            </w:r>
          </w:p>
        </w:tc>
        <w:tc>
          <w:tcPr>
            <w:tcW w:w="2268" w:type="dxa"/>
            <w:vMerge/>
            <w:tcBorders>
              <w:left w:val="single" w:sz="4" w:space="0" w:color="auto"/>
              <w:right w:val="single" w:sz="4" w:space="0" w:color="auto"/>
            </w:tcBorders>
            <w:vAlign w:val="center"/>
          </w:tcPr>
          <w:p w14:paraId="2CD4CF2E" w14:textId="77777777" w:rsidR="0079609D" w:rsidRPr="0079609D" w:rsidRDefault="0079609D" w:rsidP="0079609D">
            <w:pPr>
              <w:jc w:val="center"/>
              <w:rPr>
                <w:b/>
                <w:bCs/>
              </w:rPr>
            </w:pPr>
          </w:p>
        </w:tc>
        <w:tc>
          <w:tcPr>
            <w:tcW w:w="2835" w:type="dxa"/>
            <w:vMerge/>
            <w:tcBorders>
              <w:left w:val="single" w:sz="4" w:space="0" w:color="auto"/>
              <w:right w:val="single" w:sz="4" w:space="0" w:color="auto"/>
            </w:tcBorders>
            <w:vAlign w:val="center"/>
          </w:tcPr>
          <w:p w14:paraId="7B1CD9A5" w14:textId="77777777" w:rsidR="0079609D" w:rsidRDefault="0079609D" w:rsidP="0079609D">
            <w:pPr>
              <w:jc w:val="center"/>
            </w:pPr>
          </w:p>
        </w:tc>
      </w:tr>
      <w:tr w:rsidR="0079609D" w14:paraId="721753B4"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6D585A88"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71960A8A" w14:textId="27573CB7"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41F4925" w14:textId="287DD0D5" w:rsidR="0079609D" w:rsidRDefault="0079609D" w:rsidP="0079609D">
            <w:pPr>
              <w:jc w:val="center"/>
            </w:pPr>
            <w:r>
              <w:t>Nantwich</w:t>
            </w:r>
          </w:p>
        </w:tc>
        <w:tc>
          <w:tcPr>
            <w:tcW w:w="2268" w:type="dxa"/>
            <w:vMerge/>
            <w:tcBorders>
              <w:left w:val="single" w:sz="4" w:space="0" w:color="auto"/>
              <w:right w:val="single" w:sz="4" w:space="0" w:color="auto"/>
            </w:tcBorders>
            <w:vAlign w:val="center"/>
          </w:tcPr>
          <w:p w14:paraId="5F45D167" w14:textId="77777777" w:rsidR="0079609D" w:rsidRPr="0079609D" w:rsidRDefault="0079609D" w:rsidP="0079609D">
            <w:pPr>
              <w:jc w:val="center"/>
              <w:rPr>
                <w:b/>
                <w:bCs/>
              </w:rPr>
            </w:pPr>
          </w:p>
        </w:tc>
        <w:tc>
          <w:tcPr>
            <w:tcW w:w="2835" w:type="dxa"/>
            <w:vMerge/>
            <w:tcBorders>
              <w:left w:val="single" w:sz="4" w:space="0" w:color="auto"/>
              <w:right w:val="single" w:sz="4" w:space="0" w:color="auto"/>
            </w:tcBorders>
            <w:vAlign w:val="center"/>
          </w:tcPr>
          <w:p w14:paraId="147F48C4" w14:textId="77777777" w:rsidR="0079609D" w:rsidRDefault="0079609D" w:rsidP="0079609D">
            <w:pPr>
              <w:jc w:val="center"/>
            </w:pPr>
          </w:p>
        </w:tc>
      </w:tr>
      <w:tr w:rsidR="0079609D" w14:paraId="693DD6D3"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03F30BB1"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1E143CFA" w14:textId="58C0FF10"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973F4BA" w14:textId="0C2B1B45" w:rsidR="0079609D" w:rsidRDefault="0079609D" w:rsidP="0079609D">
            <w:pPr>
              <w:jc w:val="center"/>
            </w:pPr>
            <w:r>
              <w:t>Sandbach</w:t>
            </w:r>
          </w:p>
        </w:tc>
        <w:tc>
          <w:tcPr>
            <w:tcW w:w="2268" w:type="dxa"/>
            <w:vMerge/>
            <w:tcBorders>
              <w:left w:val="single" w:sz="4" w:space="0" w:color="auto"/>
              <w:right w:val="single" w:sz="4" w:space="0" w:color="auto"/>
            </w:tcBorders>
            <w:vAlign w:val="center"/>
          </w:tcPr>
          <w:p w14:paraId="408035FF" w14:textId="77777777" w:rsidR="0079609D" w:rsidRPr="0079609D" w:rsidRDefault="0079609D" w:rsidP="0079609D">
            <w:pPr>
              <w:jc w:val="center"/>
              <w:rPr>
                <w:b/>
                <w:bCs/>
              </w:rPr>
            </w:pPr>
          </w:p>
        </w:tc>
        <w:tc>
          <w:tcPr>
            <w:tcW w:w="2835" w:type="dxa"/>
            <w:vMerge/>
            <w:tcBorders>
              <w:left w:val="single" w:sz="4" w:space="0" w:color="auto"/>
              <w:right w:val="single" w:sz="4" w:space="0" w:color="auto"/>
            </w:tcBorders>
            <w:vAlign w:val="center"/>
          </w:tcPr>
          <w:p w14:paraId="11A45AD8" w14:textId="77777777" w:rsidR="0079609D" w:rsidRDefault="0079609D" w:rsidP="0079609D">
            <w:pPr>
              <w:jc w:val="center"/>
            </w:pPr>
          </w:p>
        </w:tc>
      </w:tr>
      <w:tr w:rsidR="0079609D" w14:paraId="6F36F1CD"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04674C00" w14:textId="77777777" w:rsidR="0079609D" w:rsidRDefault="0079609D" w:rsidP="0079609D">
            <w:pPr>
              <w:jc w:val="right"/>
            </w:pPr>
          </w:p>
        </w:tc>
        <w:tc>
          <w:tcPr>
            <w:tcW w:w="2057" w:type="dxa"/>
            <w:vMerge/>
            <w:tcBorders>
              <w:left w:val="single" w:sz="4" w:space="0" w:color="auto"/>
              <w:bottom w:val="single" w:sz="4" w:space="0" w:color="auto"/>
              <w:right w:val="single" w:sz="4" w:space="0" w:color="auto"/>
            </w:tcBorders>
            <w:vAlign w:val="center"/>
          </w:tcPr>
          <w:p w14:paraId="09DB4C55" w14:textId="7F05E6B2"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D0C126D" w14:textId="124CD46B" w:rsidR="0079609D" w:rsidRDefault="0079609D" w:rsidP="0079609D">
            <w:pPr>
              <w:jc w:val="center"/>
            </w:pPr>
            <w:proofErr w:type="spellStart"/>
            <w:r>
              <w:t>Warmingham</w:t>
            </w:r>
            <w:proofErr w:type="spellEnd"/>
          </w:p>
        </w:tc>
        <w:tc>
          <w:tcPr>
            <w:tcW w:w="2268" w:type="dxa"/>
            <w:vMerge/>
            <w:tcBorders>
              <w:left w:val="single" w:sz="4" w:space="0" w:color="auto"/>
              <w:bottom w:val="single" w:sz="4" w:space="0" w:color="auto"/>
              <w:right w:val="single" w:sz="4" w:space="0" w:color="auto"/>
            </w:tcBorders>
            <w:vAlign w:val="center"/>
          </w:tcPr>
          <w:p w14:paraId="132BA642" w14:textId="77777777" w:rsidR="0079609D" w:rsidRPr="0079609D" w:rsidRDefault="0079609D" w:rsidP="0079609D">
            <w:pPr>
              <w:jc w:val="center"/>
              <w:rPr>
                <w:b/>
                <w:bCs/>
              </w:rPr>
            </w:pPr>
          </w:p>
        </w:tc>
        <w:tc>
          <w:tcPr>
            <w:tcW w:w="2835" w:type="dxa"/>
            <w:vMerge/>
            <w:tcBorders>
              <w:left w:val="single" w:sz="4" w:space="0" w:color="auto"/>
              <w:bottom w:val="single" w:sz="4" w:space="0" w:color="auto"/>
              <w:right w:val="single" w:sz="4" w:space="0" w:color="auto"/>
            </w:tcBorders>
            <w:vAlign w:val="center"/>
          </w:tcPr>
          <w:p w14:paraId="0C95F078" w14:textId="77777777" w:rsidR="0079609D" w:rsidRDefault="0079609D" w:rsidP="0079609D">
            <w:pPr>
              <w:jc w:val="center"/>
            </w:pPr>
          </w:p>
        </w:tc>
      </w:tr>
      <w:tr w:rsidR="0079609D" w14:paraId="0C0B179F"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29E726E2" w14:textId="77777777" w:rsidR="0079609D" w:rsidRDefault="0079609D" w:rsidP="0079609D">
            <w:pPr>
              <w:jc w:val="right"/>
            </w:pPr>
          </w:p>
        </w:tc>
        <w:tc>
          <w:tcPr>
            <w:tcW w:w="2057" w:type="dxa"/>
            <w:vMerge w:val="restart"/>
            <w:tcBorders>
              <w:top w:val="single" w:sz="4" w:space="0" w:color="auto"/>
              <w:left w:val="single" w:sz="4" w:space="0" w:color="auto"/>
              <w:right w:val="single" w:sz="4" w:space="0" w:color="auto"/>
            </w:tcBorders>
            <w:vAlign w:val="center"/>
          </w:tcPr>
          <w:p w14:paraId="23CB64AD" w14:textId="77777777" w:rsidR="0079609D" w:rsidRDefault="0079609D" w:rsidP="0079609D">
            <w:pPr>
              <w:jc w:val="center"/>
            </w:pPr>
            <w:r>
              <w:t xml:space="preserve">Cheshire West &amp; Chester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CE1F9A5" w14:textId="496318EA" w:rsidR="0079609D" w:rsidRDefault="0079609D" w:rsidP="0079609D">
            <w:pPr>
              <w:jc w:val="center"/>
            </w:pPr>
            <w:r>
              <w:t>Ellesmere Port</w:t>
            </w:r>
          </w:p>
        </w:tc>
        <w:tc>
          <w:tcPr>
            <w:tcW w:w="2268" w:type="dxa"/>
            <w:vMerge w:val="restart"/>
            <w:tcBorders>
              <w:top w:val="single" w:sz="4" w:space="0" w:color="auto"/>
              <w:left w:val="single" w:sz="4" w:space="0" w:color="auto"/>
              <w:right w:val="single" w:sz="4" w:space="0" w:color="auto"/>
            </w:tcBorders>
            <w:vAlign w:val="center"/>
          </w:tcPr>
          <w:p w14:paraId="2D62102B" w14:textId="77777777" w:rsidR="0079609D" w:rsidRPr="0079609D" w:rsidRDefault="0079609D" w:rsidP="0079609D">
            <w:pPr>
              <w:jc w:val="center"/>
              <w:rPr>
                <w:b/>
                <w:bCs/>
              </w:rPr>
            </w:pPr>
            <w:r w:rsidRPr="0079609D">
              <w:rPr>
                <w:b/>
                <w:bCs/>
              </w:rPr>
              <w:t>Northern part of Cheshire West &amp; Chester</w:t>
            </w:r>
          </w:p>
          <w:p w14:paraId="1432FCA5" w14:textId="261308A8" w:rsidR="0079609D" w:rsidRPr="0079609D" w:rsidRDefault="0079609D" w:rsidP="0079609D">
            <w:pPr>
              <w:jc w:val="center"/>
              <w:rPr>
                <w:b/>
                <w:bCs/>
              </w:rPr>
            </w:pPr>
            <w:r w:rsidRPr="0079609D">
              <w:rPr>
                <w:b/>
                <w:bCs/>
              </w:rPr>
              <w:t>Location 3</w:t>
            </w:r>
          </w:p>
        </w:tc>
        <w:tc>
          <w:tcPr>
            <w:tcW w:w="2835" w:type="dxa"/>
            <w:vMerge w:val="restart"/>
            <w:tcBorders>
              <w:top w:val="single" w:sz="4" w:space="0" w:color="auto"/>
              <w:left w:val="single" w:sz="4" w:space="0" w:color="auto"/>
              <w:right w:val="single" w:sz="4" w:space="0" w:color="auto"/>
            </w:tcBorders>
            <w:vAlign w:val="center"/>
          </w:tcPr>
          <w:p w14:paraId="03130748" w14:textId="3F29184F" w:rsidR="0079609D" w:rsidRDefault="0079609D" w:rsidP="0079609D">
            <w:pPr>
              <w:jc w:val="center"/>
            </w:pPr>
          </w:p>
        </w:tc>
      </w:tr>
      <w:tr w:rsidR="0079609D" w14:paraId="6EC6A426"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2095E6AA"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31BEBF32" w14:textId="02558A90"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DB9BBA3" w14:textId="77777777" w:rsidR="0079609D" w:rsidRDefault="0079609D" w:rsidP="0079609D">
            <w:pPr>
              <w:jc w:val="center"/>
            </w:pPr>
            <w:r>
              <w:t>Chester</w:t>
            </w:r>
          </w:p>
        </w:tc>
        <w:tc>
          <w:tcPr>
            <w:tcW w:w="2268" w:type="dxa"/>
            <w:vMerge/>
            <w:tcBorders>
              <w:left w:val="single" w:sz="4" w:space="0" w:color="auto"/>
              <w:right w:val="single" w:sz="4" w:space="0" w:color="auto"/>
            </w:tcBorders>
            <w:vAlign w:val="center"/>
          </w:tcPr>
          <w:p w14:paraId="596055EF" w14:textId="77777777" w:rsidR="0079609D" w:rsidRPr="0079609D" w:rsidRDefault="0079609D" w:rsidP="0079609D">
            <w:pPr>
              <w:jc w:val="center"/>
              <w:rPr>
                <w:b/>
                <w:bCs/>
              </w:rPr>
            </w:pPr>
          </w:p>
        </w:tc>
        <w:tc>
          <w:tcPr>
            <w:tcW w:w="2835" w:type="dxa"/>
            <w:vMerge/>
            <w:tcBorders>
              <w:left w:val="single" w:sz="4" w:space="0" w:color="auto"/>
              <w:right w:val="single" w:sz="4" w:space="0" w:color="auto"/>
            </w:tcBorders>
            <w:vAlign w:val="center"/>
          </w:tcPr>
          <w:p w14:paraId="5FCDA1D7" w14:textId="77777777" w:rsidR="0079609D" w:rsidRDefault="0079609D" w:rsidP="0079609D">
            <w:pPr>
              <w:jc w:val="center"/>
            </w:pPr>
          </w:p>
        </w:tc>
      </w:tr>
      <w:tr w:rsidR="0079609D" w14:paraId="03A9C0D5"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559426FC"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2FA88204" w14:textId="26B162E6"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E909F94" w14:textId="77777777" w:rsidR="0079609D" w:rsidRDefault="0079609D" w:rsidP="0079609D">
            <w:pPr>
              <w:jc w:val="center"/>
            </w:pPr>
            <w:r>
              <w:t>Northwich</w:t>
            </w:r>
          </w:p>
        </w:tc>
        <w:tc>
          <w:tcPr>
            <w:tcW w:w="2268" w:type="dxa"/>
            <w:vMerge/>
            <w:tcBorders>
              <w:left w:val="single" w:sz="4" w:space="0" w:color="auto"/>
              <w:right w:val="single" w:sz="4" w:space="0" w:color="auto"/>
            </w:tcBorders>
            <w:vAlign w:val="center"/>
          </w:tcPr>
          <w:p w14:paraId="3D46DF96" w14:textId="77777777" w:rsidR="0079609D" w:rsidRPr="0079609D" w:rsidRDefault="0079609D" w:rsidP="0079609D">
            <w:pPr>
              <w:jc w:val="center"/>
              <w:rPr>
                <w:b/>
                <w:bCs/>
              </w:rPr>
            </w:pPr>
          </w:p>
        </w:tc>
        <w:tc>
          <w:tcPr>
            <w:tcW w:w="2835" w:type="dxa"/>
            <w:vMerge/>
            <w:tcBorders>
              <w:left w:val="single" w:sz="4" w:space="0" w:color="auto"/>
              <w:right w:val="single" w:sz="4" w:space="0" w:color="auto"/>
            </w:tcBorders>
            <w:vAlign w:val="center"/>
          </w:tcPr>
          <w:p w14:paraId="62FC49D8" w14:textId="77777777" w:rsidR="0079609D" w:rsidRDefault="0079609D" w:rsidP="0079609D">
            <w:pPr>
              <w:jc w:val="center"/>
            </w:pPr>
          </w:p>
        </w:tc>
      </w:tr>
      <w:tr w:rsidR="0079609D" w14:paraId="5810FC38"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22576B4B"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0EBBF3C4" w14:textId="7E2BC7F4"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B835FAC" w14:textId="77777777" w:rsidR="0079609D" w:rsidRDefault="0079609D" w:rsidP="0079609D">
            <w:pPr>
              <w:jc w:val="center"/>
            </w:pPr>
            <w:r>
              <w:t>Frodsham</w:t>
            </w:r>
          </w:p>
        </w:tc>
        <w:tc>
          <w:tcPr>
            <w:tcW w:w="2268" w:type="dxa"/>
            <w:vMerge/>
            <w:tcBorders>
              <w:left w:val="single" w:sz="4" w:space="0" w:color="auto"/>
              <w:bottom w:val="single" w:sz="4" w:space="0" w:color="auto"/>
              <w:right w:val="single" w:sz="4" w:space="0" w:color="auto"/>
            </w:tcBorders>
            <w:vAlign w:val="center"/>
          </w:tcPr>
          <w:p w14:paraId="59FA2F89" w14:textId="77777777" w:rsidR="0079609D" w:rsidRPr="0079609D" w:rsidRDefault="0079609D" w:rsidP="0079609D">
            <w:pPr>
              <w:jc w:val="center"/>
              <w:rPr>
                <w:b/>
                <w:bCs/>
              </w:rPr>
            </w:pPr>
          </w:p>
        </w:tc>
        <w:tc>
          <w:tcPr>
            <w:tcW w:w="2835" w:type="dxa"/>
            <w:vMerge/>
            <w:tcBorders>
              <w:left w:val="single" w:sz="4" w:space="0" w:color="auto"/>
              <w:bottom w:val="single" w:sz="4" w:space="0" w:color="auto"/>
              <w:right w:val="single" w:sz="4" w:space="0" w:color="auto"/>
            </w:tcBorders>
            <w:vAlign w:val="center"/>
          </w:tcPr>
          <w:p w14:paraId="6DFE83BE" w14:textId="77777777" w:rsidR="0079609D" w:rsidRDefault="0079609D" w:rsidP="0079609D">
            <w:pPr>
              <w:jc w:val="center"/>
            </w:pPr>
          </w:p>
        </w:tc>
      </w:tr>
      <w:tr w:rsidR="0079609D" w14:paraId="6A2A54AB"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1EA8D546"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4E0AAB9B" w14:textId="70A2C789"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A663699" w14:textId="07409FAE" w:rsidR="0079609D" w:rsidRDefault="0079609D" w:rsidP="0079609D">
            <w:pPr>
              <w:jc w:val="center"/>
            </w:pPr>
            <w:r>
              <w:t>Malpas</w:t>
            </w:r>
          </w:p>
        </w:tc>
        <w:tc>
          <w:tcPr>
            <w:tcW w:w="2268" w:type="dxa"/>
            <w:vMerge w:val="restart"/>
            <w:tcBorders>
              <w:top w:val="single" w:sz="4" w:space="0" w:color="auto"/>
              <w:left w:val="single" w:sz="4" w:space="0" w:color="auto"/>
              <w:right w:val="single" w:sz="4" w:space="0" w:color="auto"/>
            </w:tcBorders>
            <w:vAlign w:val="center"/>
          </w:tcPr>
          <w:p w14:paraId="433FD000" w14:textId="77777777" w:rsidR="0079609D" w:rsidRPr="0079609D" w:rsidRDefault="0079609D" w:rsidP="0079609D">
            <w:pPr>
              <w:jc w:val="center"/>
              <w:rPr>
                <w:b/>
                <w:bCs/>
              </w:rPr>
            </w:pPr>
            <w:r w:rsidRPr="0079609D">
              <w:rPr>
                <w:b/>
                <w:bCs/>
              </w:rPr>
              <w:t>Southern part of Cheshire West &amp; Chester</w:t>
            </w:r>
          </w:p>
          <w:p w14:paraId="0E494488" w14:textId="021B67F8" w:rsidR="0079609D" w:rsidRPr="0079609D" w:rsidRDefault="0079609D" w:rsidP="0079609D">
            <w:pPr>
              <w:jc w:val="center"/>
              <w:rPr>
                <w:b/>
                <w:bCs/>
              </w:rPr>
            </w:pPr>
            <w:r w:rsidRPr="0079609D">
              <w:rPr>
                <w:b/>
                <w:bCs/>
              </w:rPr>
              <w:t>Location 4</w:t>
            </w:r>
          </w:p>
        </w:tc>
        <w:tc>
          <w:tcPr>
            <w:tcW w:w="2835" w:type="dxa"/>
            <w:vMerge w:val="restart"/>
            <w:tcBorders>
              <w:top w:val="single" w:sz="4" w:space="0" w:color="auto"/>
              <w:left w:val="single" w:sz="4" w:space="0" w:color="auto"/>
              <w:right w:val="single" w:sz="4" w:space="0" w:color="auto"/>
            </w:tcBorders>
            <w:vAlign w:val="center"/>
          </w:tcPr>
          <w:p w14:paraId="2BD6CAAF" w14:textId="2696628C" w:rsidR="0079609D" w:rsidRDefault="0079609D" w:rsidP="0079609D">
            <w:pPr>
              <w:jc w:val="center"/>
            </w:pPr>
          </w:p>
        </w:tc>
      </w:tr>
      <w:tr w:rsidR="0079609D" w14:paraId="554B05FD"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74FF0DB1"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77BD3CE1" w14:textId="2FCDC230"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1D56E10" w14:textId="77777777" w:rsidR="0079609D" w:rsidRDefault="0079609D" w:rsidP="0079609D">
            <w:pPr>
              <w:jc w:val="center"/>
            </w:pPr>
            <w:r>
              <w:t>Tarporley</w:t>
            </w:r>
          </w:p>
        </w:tc>
        <w:tc>
          <w:tcPr>
            <w:tcW w:w="2268" w:type="dxa"/>
            <w:vMerge/>
            <w:tcBorders>
              <w:left w:val="single" w:sz="4" w:space="0" w:color="auto"/>
              <w:right w:val="single" w:sz="4" w:space="0" w:color="auto"/>
            </w:tcBorders>
            <w:vAlign w:val="center"/>
          </w:tcPr>
          <w:p w14:paraId="63EC2C0F" w14:textId="77777777" w:rsidR="0079609D" w:rsidRPr="0079609D" w:rsidRDefault="0079609D" w:rsidP="0079609D">
            <w:pPr>
              <w:jc w:val="center"/>
              <w:rPr>
                <w:b/>
                <w:bCs/>
              </w:rPr>
            </w:pPr>
          </w:p>
        </w:tc>
        <w:tc>
          <w:tcPr>
            <w:tcW w:w="2835" w:type="dxa"/>
            <w:vMerge/>
            <w:tcBorders>
              <w:left w:val="single" w:sz="4" w:space="0" w:color="auto"/>
              <w:right w:val="single" w:sz="4" w:space="0" w:color="auto"/>
            </w:tcBorders>
            <w:vAlign w:val="center"/>
          </w:tcPr>
          <w:p w14:paraId="766329E4" w14:textId="77777777" w:rsidR="0079609D" w:rsidRDefault="0079609D" w:rsidP="0079609D">
            <w:pPr>
              <w:jc w:val="center"/>
            </w:pPr>
          </w:p>
        </w:tc>
      </w:tr>
      <w:tr w:rsidR="0079609D" w14:paraId="0CE586FB"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3A31A5FC" w14:textId="77777777" w:rsidR="0079609D" w:rsidRDefault="0079609D" w:rsidP="0079609D">
            <w:pPr>
              <w:jc w:val="right"/>
            </w:pPr>
          </w:p>
        </w:tc>
        <w:tc>
          <w:tcPr>
            <w:tcW w:w="2057" w:type="dxa"/>
            <w:vMerge/>
            <w:tcBorders>
              <w:left w:val="single" w:sz="4" w:space="0" w:color="auto"/>
              <w:bottom w:val="single" w:sz="4" w:space="0" w:color="auto"/>
              <w:right w:val="single" w:sz="4" w:space="0" w:color="auto"/>
            </w:tcBorders>
            <w:vAlign w:val="center"/>
          </w:tcPr>
          <w:p w14:paraId="1DB97DAE" w14:textId="039F892D"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0173A79" w14:textId="77777777" w:rsidR="0079609D" w:rsidRDefault="0079609D" w:rsidP="0079609D">
            <w:pPr>
              <w:jc w:val="center"/>
            </w:pPr>
            <w:r>
              <w:t>Winsford</w:t>
            </w:r>
          </w:p>
        </w:tc>
        <w:tc>
          <w:tcPr>
            <w:tcW w:w="2268" w:type="dxa"/>
            <w:vMerge/>
            <w:tcBorders>
              <w:left w:val="single" w:sz="4" w:space="0" w:color="auto"/>
              <w:bottom w:val="single" w:sz="4" w:space="0" w:color="auto"/>
              <w:right w:val="single" w:sz="4" w:space="0" w:color="auto"/>
            </w:tcBorders>
            <w:vAlign w:val="center"/>
          </w:tcPr>
          <w:p w14:paraId="462B31FD" w14:textId="77777777" w:rsidR="0079609D" w:rsidRPr="0079609D" w:rsidRDefault="0079609D" w:rsidP="0079609D">
            <w:pPr>
              <w:jc w:val="center"/>
              <w:rPr>
                <w:b/>
                <w:bCs/>
              </w:rPr>
            </w:pPr>
          </w:p>
        </w:tc>
        <w:tc>
          <w:tcPr>
            <w:tcW w:w="2835" w:type="dxa"/>
            <w:vMerge/>
            <w:tcBorders>
              <w:left w:val="single" w:sz="4" w:space="0" w:color="auto"/>
              <w:bottom w:val="single" w:sz="4" w:space="0" w:color="auto"/>
              <w:right w:val="single" w:sz="4" w:space="0" w:color="auto"/>
            </w:tcBorders>
            <w:vAlign w:val="center"/>
          </w:tcPr>
          <w:p w14:paraId="02297E79" w14:textId="77777777" w:rsidR="0079609D" w:rsidRDefault="0079609D" w:rsidP="0079609D">
            <w:pPr>
              <w:jc w:val="center"/>
            </w:pPr>
          </w:p>
        </w:tc>
      </w:tr>
      <w:tr w:rsidR="0079609D" w14:paraId="10E50935"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5C78064E" w14:textId="77777777" w:rsidR="0079609D" w:rsidRDefault="0079609D" w:rsidP="0079609D">
            <w:pPr>
              <w:jc w:val="right"/>
            </w:pPr>
          </w:p>
        </w:tc>
        <w:tc>
          <w:tcPr>
            <w:tcW w:w="2057" w:type="dxa"/>
            <w:vMerge w:val="restart"/>
            <w:tcBorders>
              <w:top w:val="single" w:sz="4" w:space="0" w:color="auto"/>
              <w:left w:val="single" w:sz="4" w:space="0" w:color="auto"/>
              <w:right w:val="single" w:sz="4" w:space="0" w:color="auto"/>
            </w:tcBorders>
            <w:vAlign w:val="center"/>
          </w:tcPr>
          <w:p w14:paraId="0396B4DF" w14:textId="77777777" w:rsidR="0079609D" w:rsidRDefault="0079609D" w:rsidP="0079609D">
            <w:pPr>
              <w:jc w:val="center"/>
            </w:pPr>
            <w:r>
              <w:t>Warrington</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7A591B3" w14:textId="77777777" w:rsidR="0079609D" w:rsidRDefault="0079609D" w:rsidP="0079609D">
            <w:pPr>
              <w:jc w:val="center"/>
            </w:pPr>
            <w:r>
              <w:t>Warrington Town</w:t>
            </w:r>
          </w:p>
        </w:tc>
        <w:tc>
          <w:tcPr>
            <w:tcW w:w="2268" w:type="dxa"/>
            <w:vMerge w:val="restart"/>
            <w:tcBorders>
              <w:top w:val="single" w:sz="4" w:space="0" w:color="auto"/>
              <w:left w:val="single" w:sz="4" w:space="0" w:color="auto"/>
              <w:right w:val="single" w:sz="4" w:space="0" w:color="auto"/>
            </w:tcBorders>
            <w:vAlign w:val="center"/>
          </w:tcPr>
          <w:p w14:paraId="70705202" w14:textId="77777777" w:rsidR="0079609D" w:rsidRPr="0079609D" w:rsidRDefault="0079609D" w:rsidP="0079609D">
            <w:pPr>
              <w:jc w:val="center"/>
              <w:rPr>
                <w:b/>
                <w:bCs/>
              </w:rPr>
            </w:pPr>
            <w:r w:rsidRPr="0079609D">
              <w:rPr>
                <w:b/>
                <w:bCs/>
              </w:rPr>
              <w:t>Warrington MBC</w:t>
            </w:r>
          </w:p>
          <w:p w14:paraId="35D34CD4" w14:textId="20070A6C" w:rsidR="0079609D" w:rsidRPr="0079609D" w:rsidRDefault="0079609D" w:rsidP="0079609D">
            <w:pPr>
              <w:jc w:val="center"/>
              <w:rPr>
                <w:b/>
                <w:bCs/>
              </w:rPr>
            </w:pPr>
            <w:r w:rsidRPr="0079609D">
              <w:rPr>
                <w:b/>
                <w:bCs/>
              </w:rPr>
              <w:t>Location 5</w:t>
            </w:r>
          </w:p>
        </w:tc>
        <w:tc>
          <w:tcPr>
            <w:tcW w:w="2835" w:type="dxa"/>
            <w:vMerge w:val="restart"/>
            <w:tcBorders>
              <w:top w:val="single" w:sz="4" w:space="0" w:color="auto"/>
              <w:left w:val="single" w:sz="4" w:space="0" w:color="auto"/>
              <w:right w:val="single" w:sz="4" w:space="0" w:color="auto"/>
            </w:tcBorders>
            <w:vAlign w:val="center"/>
          </w:tcPr>
          <w:p w14:paraId="063741D4" w14:textId="724F5226" w:rsidR="0079609D" w:rsidRDefault="0079609D" w:rsidP="0079609D">
            <w:pPr>
              <w:jc w:val="center"/>
            </w:pPr>
          </w:p>
        </w:tc>
      </w:tr>
      <w:tr w:rsidR="0079609D" w14:paraId="2CD36839"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3D9EE9A8"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14769CBD" w14:textId="2FF212DF"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567B5CF" w14:textId="0533C99C" w:rsidR="0079609D" w:rsidRDefault="0079609D" w:rsidP="0079609D">
            <w:pPr>
              <w:jc w:val="center"/>
            </w:pPr>
            <w:r>
              <w:t>Daresbury</w:t>
            </w:r>
          </w:p>
        </w:tc>
        <w:tc>
          <w:tcPr>
            <w:tcW w:w="2268" w:type="dxa"/>
            <w:vMerge/>
            <w:tcBorders>
              <w:left w:val="single" w:sz="4" w:space="0" w:color="auto"/>
              <w:right w:val="single" w:sz="4" w:space="0" w:color="auto"/>
            </w:tcBorders>
            <w:vAlign w:val="center"/>
          </w:tcPr>
          <w:p w14:paraId="16B6940D" w14:textId="77777777" w:rsidR="0079609D" w:rsidRDefault="0079609D" w:rsidP="0079609D">
            <w:pPr>
              <w:jc w:val="center"/>
            </w:pPr>
          </w:p>
        </w:tc>
        <w:tc>
          <w:tcPr>
            <w:tcW w:w="2835" w:type="dxa"/>
            <w:vMerge/>
            <w:tcBorders>
              <w:left w:val="single" w:sz="4" w:space="0" w:color="auto"/>
              <w:right w:val="single" w:sz="4" w:space="0" w:color="auto"/>
            </w:tcBorders>
            <w:vAlign w:val="center"/>
          </w:tcPr>
          <w:p w14:paraId="755A85FE" w14:textId="77777777" w:rsidR="0079609D" w:rsidRDefault="0079609D" w:rsidP="0079609D">
            <w:pPr>
              <w:jc w:val="center"/>
            </w:pPr>
          </w:p>
        </w:tc>
      </w:tr>
      <w:tr w:rsidR="0079609D" w14:paraId="2404F366" w14:textId="77777777" w:rsidTr="0079609D">
        <w:trPr>
          <w:trHeight w:val="505"/>
        </w:trPr>
        <w:tc>
          <w:tcPr>
            <w:tcW w:w="236" w:type="dxa"/>
            <w:vMerge/>
            <w:tcBorders>
              <w:left w:val="single" w:sz="4" w:space="0" w:color="auto"/>
              <w:right w:val="single" w:sz="4" w:space="0" w:color="auto"/>
            </w:tcBorders>
            <w:shd w:val="clear" w:color="auto" w:fill="F2F2F2" w:themeFill="background1" w:themeFillShade="F2"/>
          </w:tcPr>
          <w:p w14:paraId="45520B6E" w14:textId="77777777" w:rsidR="0079609D" w:rsidRDefault="0079609D" w:rsidP="0079609D">
            <w:pPr>
              <w:jc w:val="right"/>
            </w:pPr>
          </w:p>
        </w:tc>
        <w:tc>
          <w:tcPr>
            <w:tcW w:w="2057" w:type="dxa"/>
            <w:vMerge/>
            <w:tcBorders>
              <w:left w:val="single" w:sz="4" w:space="0" w:color="auto"/>
              <w:right w:val="single" w:sz="4" w:space="0" w:color="auto"/>
            </w:tcBorders>
            <w:vAlign w:val="center"/>
          </w:tcPr>
          <w:p w14:paraId="778D41B1" w14:textId="74CAC435"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11E0F20" w14:textId="77777777" w:rsidR="0079609D" w:rsidRDefault="0079609D" w:rsidP="0079609D">
            <w:pPr>
              <w:jc w:val="center"/>
            </w:pPr>
            <w:r>
              <w:t>Birchwood</w:t>
            </w:r>
          </w:p>
        </w:tc>
        <w:tc>
          <w:tcPr>
            <w:tcW w:w="2268" w:type="dxa"/>
            <w:vMerge/>
            <w:tcBorders>
              <w:left w:val="single" w:sz="4" w:space="0" w:color="auto"/>
              <w:right w:val="single" w:sz="4" w:space="0" w:color="auto"/>
            </w:tcBorders>
            <w:vAlign w:val="center"/>
          </w:tcPr>
          <w:p w14:paraId="793700C9" w14:textId="77777777" w:rsidR="0079609D" w:rsidRDefault="0079609D" w:rsidP="0079609D">
            <w:pPr>
              <w:jc w:val="center"/>
            </w:pPr>
          </w:p>
        </w:tc>
        <w:tc>
          <w:tcPr>
            <w:tcW w:w="2835" w:type="dxa"/>
            <w:vMerge/>
            <w:tcBorders>
              <w:left w:val="single" w:sz="4" w:space="0" w:color="auto"/>
              <w:right w:val="single" w:sz="4" w:space="0" w:color="auto"/>
            </w:tcBorders>
            <w:vAlign w:val="center"/>
          </w:tcPr>
          <w:p w14:paraId="4E2607C5" w14:textId="77777777" w:rsidR="0079609D" w:rsidRDefault="0079609D" w:rsidP="0079609D">
            <w:pPr>
              <w:jc w:val="center"/>
            </w:pPr>
          </w:p>
        </w:tc>
      </w:tr>
      <w:tr w:rsidR="0079609D" w14:paraId="0BD0DA9B" w14:textId="77777777" w:rsidTr="0079609D">
        <w:trPr>
          <w:trHeight w:val="505"/>
        </w:trPr>
        <w:tc>
          <w:tcPr>
            <w:tcW w:w="236" w:type="dxa"/>
            <w:vMerge/>
            <w:tcBorders>
              <w:left w:val="single" w:sz="4" w:space="0" w:color="auto"/>
              <w:bottom w:val="single" w:sz="4" w:space="0" w:color="auto"/>
              <w:right w:val="single" w:sz="4" w:space="0" w:color="auto"/>
            </w:tcBorders>
            <w:shd w:val="clear" w:color="auto" w:fill="F2F2F2" w:themeFill="background1" w:themeFillShade="F2"/>
          </w:tcPr>
          <w:p w14:paraId="6CFA59EE" w14:textId="77777777" w:rsidR="0079609D" w:rsidRDefault="0079609D" w:rsidP="0079609D">
            <w:pPr>
              <w:jc w:val="right"/>
            </w:pPr>
          </w:p>
        </w:tc>
        <w:tc>
          <w:tcPr>
            <w:tcW w:w="2057" w:type="dxa"/>
            <w:vMerge/>
            <w:tcBorders>
              <w:left w:val="single" w:sz="4" w:space="0" w:color="auto"/>
              <w:bottom w:val="single" w:sz="4" w:space="0" w:color="auto"/>
              <w:right w:val="single" w:sz="4" w:space="0" w:color="auto"/>
            </w:tcBorders>
            <w:vAlign w:val="center"/>
          </w:tcPr>
          <w:p w14:paraId="5B590369" w14:textId="21D6253C" w:rsidR="0079609D" w:rsidRDefault="0079609D" w:rsidP="0079609D">
            <w:pPr>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0E4A80B" w14:textId="77777777" w:rsidR="0079609D" w:rsidRDefault="0079609D" w:rsidP="0079609D">
            <w:pPr>
              <w:jc w:val="center"/>
            </w:pPr>
            <w:r>
              <w:t>Lymm</w:t>
            </w:r>
          </w:p>
        </w:tc>
        <w:tc>
          <w:tcPr>
            <w:tcW w:w="2268" w:type="dxa"/>
            <w:vMerge/>
            <w:tcBorders>
              <w:left w:val="single" w:sz="4" w:space="0" w:color="auto"/>
              <w:bottom w:val="single" w:sz="4" w:space="0" w:color="auto"/>
              <w:right w:val="single" w:sz="4" w:space="0" w:color="auto"/>
            </w:tcBorders>
            <w:vAlign w:val="center"/>
          </w:tcPr>
          <w:p w14:paraId="5F0F59C1" w14:textId="77777777" w:rsidR="0079609D" w:rsidRDefault="0079609D" w:rsidP="0079609D">
            <w:pPr>
              <w:jc w:val="center"/>
            </w:pPr>
          </w:p>
        </w:tc>
        <w:tc>
          <w:tcPr>
            <w:tcW w:w="2835" w:type="dxa"/>
            <w:vMerge/>
            <w:tcBorders>
              <w:left w:val="single" w:sz="4" w:space="0" w:color="auto"/>
              <w:bottom w:val="single" w:sz="4" w:space="0" w:color="auto"/>
              <w:right w:val="single" w:sz="4" w:space="0" w:color="auto"/>
            </w:tcBorders>
            <w:vAlign w:val="center"/>
          </w:tcPr>
          <w:p w14:paraId="6AF31DF3" w14:textId="77777777" w:rsidR="0079609D" w:rsidRDefault="0079609D" w:rsidP="0079609D">
            <w:pPr>
              <w:jc w:val="center"/>
            </w:pPr>
          </w:p>
        </w:tc>
      </w:tr>
    </w:tbl>
    <w:p w14:paraId="75C529E7" w14:textId="77777777" w:rsidR="006F60CE" w:rsidRDefault="006F60CE" w:rsidP="006F60CE">
      <w:pPr>
        <w:rPr>
          <w:b/>
        </w:rPr>
      </w:pPr>
    </w:p>
    <w:tbl>
      <w:tblPr>
        <w:tblW w:w="9947" w:type="dxa"/>
        <w:tblInd w:w="-313" w:type="dxa"/>
        <w:tblBorders>
          <w:top w:val="nil"/>
          <w:left w:val="nil"/>
          <w:bottom w:val="nil"/>
          <w:right w:val="nil"/>
        </w:tblBorders>
        <w:tblLayout w:type="fixed"/>
        <w:tblLook w:val="0000" w:firstRow="0" w:lastRow="0" w:firstColumn="0" w:lastColumn="0" w:noHBand="0" w:noVBand="0"/>
      </w:tblPr>
      <w:tblGrid>
        <w:gridCol w:w="3313"/>
        <w:gridCol w:w="1197"/>
        <w:gridCol w:w="239"/>
        <w:gridCol w:w="727"/>
        <w:gridCol w:w="1069"/>
        <w:gridCol w:w="1073"/>
        <w:gridCol w:w="747"/>
        <w:gridCol w:w="1582"/>
      </w:tblGrid>
      <w:tr w:rsidR="006F60CE" w:rsidRPr="00F00C14" w14:paraId="2AFB0CFA" w14:textId="77777777" w:rsidTr="00C3488E">
        <w:trPr>
          <w:trHeight w:val="208"/>
        </w:trPr>
        <w:tc>
          <w:tcPr>
            <w:tcW w:w="9947"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E583B9" w14:textId="77777777" w:rsidR="006F60CE" w:rsidRPr="00F00C14" w:rsidRDefault="006F60CE" w:rsidP="00C3488E">
            <w:pPr>
              <w:rPr>
                <w:b/>
              </w:rPr>
            </w:pPr>
            <w:r w:rsidRPr="00F00C14">
              <w:rPr>
                <w:b/>
              </w:rPr>
              <w:t xml:space="preserve">Cost Breakdown </w:t>
            </w:r>
          </w:p>
        </w:tc>
      </w:tr>
      <w:tr w:rsidR="006F60CE" w14:paraId="3EDF6195" w14:textId="77777777" w:rsidTr="00F25AE9">
        <w:trPr>
          <w:trHeight w:val="537"/>
        </w:trPr>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D9235" w14:textId="4610A993" w:rsidR="006F60CE" w:rsidRDefault="006F60CE" w:rsidP="00C3488E">
            <w:r>
              <w:t xml:space="preserve">Room </w:t>
            </w:r>
            <w:r w:rsidR="001A218C">
              <w:t>Size</w:t>
            </w:r>
          </w:p>
        </w:tc>
        <w:tc>
          <w:tcPr>
            <w:tcW w:w="14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EEEB7" w14:textId="77777777" w:rsidR="006F60CE" w:rsidRDefault="006F60CE" w:rsidP="00C3488E">
            <w:pPr>
              <w:jc w:val="center"/>
            </w:pPr>
            <w:r>
              <w:t>FREE AV Screen Available?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28DF3D" w14:textId="77777777" w:rsidR="006F60CE" w:rsidRDefault="006F60CE" w:rsidP="00C3488E">
            <w:pPr>
              <w:jc w:val="center"/>
            </w:pPr>
            <w:r>
              <w:t>Half-day cost (exc. VAT)</w:t>
            </w:r>
          </w:p>
        </w:tc>
        <w:tc>
          <w:tcPr>
            <w:tcW w:w="1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8EB46" w14:textId="77777777" w:rsidR="006F60CE" w:rsidRDefault="006F60CE" w:rsidP="00C3488E">
            <w:pPr>
              <w:jc w:val="center"/>
            </w:pPr>
            <w:r>
              <w:t>Full-day cost (exc. VAT)</w:t>
            </w:r>
          </w:p>
        </w:tc>
        <w:tc>
          <w:tcPr>
            <w:tcW w:w="1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6942D" w14:textId="77777777" w:rsidR="006F60CE" w:rsidRDefault="006F60CE" w:rsidP="00C3488E">
            <w:pPr>
              <w:jc w:val="center"/>
            </w:pPr>
            <w:proofErr w:type="gramStart"/>
            <w:r>
              <w:t>Wheel Chair</w:t>
            </w:r>
            <w:proofErr w:type="gramEnd"/>
            <w:r>
              <w:t xml:space="preserve"> Accessible?</w:t>
            </w:r>
          </w:p>
        </w:tc>
      </w:tr>
      <w:tr w:rsidR="006F60CE" w14:paraId="55B656F6" w14:textId="77777777" w:rsidTr="00F25AE9">
        <w:trPr>
          <w:trHeight w:val="537"/>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1AAF65E0" w14:textId="77777777" w:rsidR="006F60CE" w:rsidRDefault="006F60CE" w:rsidP="00C3488E">
            <w:r>
              <w:t>Small Room (Less than 10 Attendees)</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55E4068F" w14:textId="77777777" w:rsidR="006F60CE" w:rsidRDefault="006F60CE" w:rsidP="00C3488E">
            <w:pPr>
              <w:jc w:val="center"/>
            </w:pPr>
            <w:r>
              <w:t>Y/N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C8107" w14:textId="77777777" w:rsidR="006F60CE" w:rsidRDefault="006F60CE" w:rsidP="00C3488E"/>
        </w:tc>
        <w:tc>
          <w:tcPr>
            <w:tcW w:w="1820" w:type="dxa"/>
            <w:gridSpan w:val="2"/>
            <w:tcBorders>
              <w:top w:val="single" w:sz="4" w:space="0" w:color="auto"/>
              <w:left w:val="single" w:sz="4" w:space="0" w:color="auto"/>
              <w:bottom w:val="single" w:sz="4" w:space="0" w:color="auto"/>
              <w:right w:val="single" w:sz="4" w:space="0" w:color="auto"/>
            </w:tcBorders>
            <w:vAlign w:val="center"/>
          </w:tcPr>
          <w:p w14:paraId="514EC4A8" w14:textId="77777777" w:rsidR="006F60CE" w:rsidRDefault="006F60CE" w:rsidP="00C3488E"/>
        </w:tc>
        <w:tc>
          <w:tcPr>
            <w:tcW w:w="1582" w:type="dxa"/>
            <w:tcBorders>
              <w:top w:val="single" w:sz="4" w:space="0" w:color="auto"/>
              <w:left w:val="single" w:sz="4" w:space="0" w:color="auto"/>
              <w:bottom w:val="single" w:sz="4" w:space="0" w:color="auto"/>
              <w:right w:val="single" w:sz="4" w:space="0" w:color="auto"/>
            </w:tcBorders>
            <w:vAlign w:val="center"/>
          </w:tcPr>
          <w:p w14:paraId="55DB3613" w14:textId="77777777" w:rsidR="006F60CE" w:rsidRDefault="006F60CE" w:rsidP="00C3488E">
            <w:pPr>
              <w:jc w:val="center"/>
            </w:pPr>
            <w:r>
              <w:t>Y/N</w:t>
            </w:r>
          </w:p>
        </w:tc>
      </w:tr>
      <w:tr w:rsidR="006F60CE" w14:paraId="5CF4E161" w14:textId="77777777" w:rsidTr="00F25AE9">
        <w:trPr>
          <w:trHeight w:val="537"/>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4F32EFF6" w14:textId="77777777" w:rsidR="006F60CE" w:rsidRDefault="006F60CE" w:rsidP="00C3488E">
            <w:r>
              <w:t>Medium Room (Up to 25 Attendees)</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702C8CFA" w14:textId="77777777" w:rsidR="006F60CE" w:rsidRDefault="006F60CE" w:rsidP="00C3488E">
            <w:pPr>
              <w:jc w:val="center"/>
            </w:pPr>
            <w:r>
              <w:t>Y/N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94023" w14:textId="77777777" w:rsidR="006F60CE" w:rsidRDefault="006F60CE" w:rsidP="00C3488E"/>
        </w:tc>
        <w:tc>
          <w:tcPr>
            <w:tcW w:w="1820" w:type="dxa"/>
            <w:gridSpan w:val="2"/>
            <w:tcBorders>
              <w:top w:val="single" w:sz="4" w:space="0" w:color="auto"/>
              <w:left w:val="single" w:sz="4" w:space="0" w:color="auto"/>
              <w:bottom w:val="single" w:sz="4" w:space="0" w:color="auto"/>
              <w:right w:val="single" w:sz="4" w:space="0" w:color="auto"/>
            </w:tcBorders>
            <w:vAlign w:val="center"/>
          </w:tcPr>
          <w:p w14:paraId="618E7F84" w14:textId="77777777" w:rsidR="006F60CE" w:rsidRDefault="006F60CE" w:rsidP="00C3488E"/>
        </w:tc>
        <w:tc>
          <w:tcPr>
            <w:tcW w:w="1582" w:type="dxa"/>
            <w:tcBorders>
              <w:top w:val="single" w:sz="4" w:space="0" w:color="auto"/>
              <w:left w:val="single" w:sz="4" w:space="0" w:color="auto"/>
              <w:bottom w:val="single" w:sz="4" w:space="0" w:color="auto"/>
              <w:right w:val="single" w:sz="4" w:space="0" w:color="auto"/>
            </w:tcBorders>
            <w:vAlign w:val="center"/>
          </w:tcPr>
          <w:p w14:paraId="32BECE16" w14:textId="77777777" w:rsidR="006F60CE" w:rsidRDefault="006F60CE" w:rsidP="00C3488E">
            <w:pPr>
              <w:jc w:val="center"/>
            </w:pPr>
            <w:r>
              <w:t>Y/N</w:t>
            </w:r>
          </w:p>
        </w:tc>
      </w:tr>
      <w:tr w:rsidR="006F60CE" w14:paraId="2668B986" w14:textId="77777777" w:rsidTr="00F25AE9">
        <w:trPr>
          <w:trHeight w:val="537"/>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397739B4" w14:textId="77777777" w:rsidR="006F60CE" w:rsidRDefault="006F60CE" w:rsidP="00C3488E">
            <w:r>
              <w:t>Large Room (Up to 100 Attendees)</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2DED84B6" w14:textId="77777777" w:rsidR="006F60CE" w:rsidRDefault="006F60CE" w:rsidP="00C3488E">
            <w:pPr>
              <w:jc w:val="center"/>
            </w:pPr>
            <w:r>
              <w:t>Y/N</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8F730" w14:textId="77777777" w:rsidR="006F60CE" w:rsidRDefault="006F60CE" w:rsidP="00C3488E"/>
        </w:tc>
        <w:tc>
          <w:tcPr>
            <w:tcW w:w="1820" w:type="dxa"/>
            <w:gridSpan w:val="2"/>
            <w:tcBorders>
              <w:top w:val="single" w:sz="4" w:space="0" w:color="auto"/>
              <w:left w:val="single" w:sz="4" w:space="0" w:color="auto"/>
              <w:bottom w:val="single" w:sz="4" w:space="0" w:color="auto"/>
              <w:right w:val="single" w:sz="4" w:space="0" w:color="auto"/>
            </w:tcBorders>
            <w:vAlign w:val="center"/>
          </w:tcPr>
          <w:p w14:paraId="4EFFA156" w14:textId="77777777" w:rsidR="006F60CE" w:rsidRDefault="006F60CE" w:rsidP="00C3488E"/>
        </w:tc>
        <w:tc>
          <w:tcPr>
            <w:tcW w:w="1582" w:type="dxa"/>
            <w:tcBorders>
              <w:left w:val="single" w:sz="4" w:space="0" w:color="auto"/>
              <w:bottom w:val="single" w:sz="4" w:space="0" w:color="auto"/>
              <w:right w:val="single" w:sz="4" w:space="0" w:color="auto"/>
            </w:tcBorders>
            <w:vAlign w:val="center"/>
          </w:tcPr>
          <w:p w14:paraId="3FDD4339" w14:textId="77777777" w:rsidR="006F60CE" w:rsidRDefault="006F60CE" w:rsidP="00C3488E">
            <w:pPr>
              <w:jc w:val="center"/>
            </w:pPr>
            <w:r>
              <w:t>Y/N</w:t>
            </w:r>
          </w:p>
        </w:tc>
      </w:tr>
      <w:tr w:rsidR="00A06BE6" w14:paraId="08FAD4C0" w14:textId="77777777" w:rsidTr="00A06BE6">
        <w:trPr>
          <w:trHeight w:val="464"/>
        </w:trPr>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21F07" w14:textId="67782920" w:rsidR="00A06BE6" w:rsidRDefault="00A06BE6" w:rsidP="00C3488E">
            <w:pPr>
              <w:jc w:val="right"/>
            </w:pPr>
            <w:r>
              <w:t>Standard Light drink refreshments (tea, coffee, water) cost Per Person (exc. VAT)</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588CFEBF" w14:textId="77777777" w:rsidR="00A06BE6" w:rsidRDefault="00A06BE6" w:rsidP="00C3488E">
            <w:r>
              <w:t>Further Details (include price list if possible)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40908" w14:textId="0C178A69" w:rsidR="00A06BE6" w:rsidRDefault="00A06BE6" w:rsidP="00A06BE6">
            <w:pPr>
              <w:jc w:val="center"/>
            </w:pPr>
            <w:r>
              <w:t>£___ per head</w:t>
            </w:r>
          </w:p>
        </w:tc>
        <w:tc>
          <w:tcPr>
            <w:tcW w:w="158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86B5724" w14:textId="77777777" w:rsidR="00A06BE6" w:rsidRDefault="00A06BE6" w:rsidP="00C3488E"/>
        </w:tc>
      </w:tr>
      <w:tr w:rsidR="00A06BE6" w14:paraId="2BE0758A" w14:textId="77777777" w:rsidTr="00D62933">
        <w:trPr>
          <w:trHeight w:val="464"/>
        </w:trPr>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086F8" w14:textId="06E6C516" w:rsidR="00A06BE6" w:rsidRDefault="00A06BE6" w:rsidP="00C3488E">
            <w:pPr>
              <w:jc w:val="right"/>
            </w:pPr>
            <w:r>
              <w:t>Cold Buffet/Sandwich lunch catering Cost Per Person (exc. VAT)</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0A069AEF" w14:textId="77777777" w:rsidR="00A06BE6" w:rsidRDefault="00A06BE6" w:rsidP="00C3488E">
            <w:r>
              <w:t>Further Details (include price list if possible)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3B817" w14:textId="18FB5D11" w:rsidR="00A06BE6" w:rsidRDefault="00A06BE6" w:rsidP="00C3488E">
            <w:pPr>
              <w:jc w:val="center"/>
            </w:pPr>
            <w:r>
              <w:t>£___ per head</w:t>
            </w:r>
          </w:p>
        </w:tc>
        <w:tc>
          <w:tcPr>
            <w:tcW w:w="158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ACA3F05" w14:textId="77777777" w:rsidR="00A06BE6" w:rsidRDefault="00A06BE6" w:rsidP="00C3488E"/>
        </w:tc>
      </w:tr>
      <w:tr w:rsidR="006F60CE" w:rsidRPr="00F00C14" w14:paraId="6255292A" w14:textId="77777777" w:rsidTr="00C3488E">
        <w:trPr>
          <w:trHeight w:val="208"/>
        </w:trPr>
        <w:tc>
          <w:tcPr>
            <w:tcW w:w="9947"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09F6FD" w14:textId="77777777" w:rsidR="006F60CE" w:rsidRPr="00F00C14" w:rsidRDefault="006F60CE" w:rsidP="00C3488E">
            <w:pPr>
              <w:rPr>
                <w:b/>
              </w:rPr>
            </w:pPr>
            <w:r>
              <w:rPr>
                <w:b/>
              </w:rPr>
              <w:t>Additional Information</w:t>
            </w:r>
          </w:p>
        </w:tc>
      </w:tr>
      <w:tr w:rsidR="006F60CE" w14:paraId="1B03F35E" w14:textId="77777777" w:rsidTr="00A06BE6">
        <w:trPr>
          <w:trHeight w:val="307"/>
        </w:trPr>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9279E" w14:textId="77777777" w:rsidR="006F60CE" w:rsidRDefault="006F60CE" w:rsidP="00C3488E">
            <w:pPr>
              <w:jc w:val="right"/>
            </w:pPr>
            <w:r>
              <w:t xml:space="preserve">Is the venue </w:t>
            </w:r>
            <w:proofErr w:type="gramStart"/>
            <w:r>
              <w:t>wheel chair</w:t>
            </w:r>
            <w:proofErr w:type="gramEnd"/>
            <w:r>
              <w:t xml:space="preserve"> accessible?</w:t>
            </w:r>
          </w:p>
        </w:tc>
        <w:tc>
          <w:tcPr>
            <w:tcW w:w="1197" w:type="dxa"/>
            <w:tcBorders>
              <w:top w:val="single" w:sz="4" w:space="0" w:color="auto"/>
              <w:left w:val="single" w:sz="4" w:space="0" w:color="auto"/>
              <w:bottom w:val="single" w:sz="4" w:space="0" w:color="auto"/>
              <w:right w:val="single" w:sz="4" w:space="0" w:color="auto"/>
            </w:tcBorders>
            <w:vAlign w:val="center"/>
          </w:tcPr>
          <w:p w14:paraId="7811BFCC" w14:textId="77777777" w:rsidR="006F60CE" w:rsidRDefault="006F60CE" w:rsidP="00C3488E">
            <w:pPr>
              <w:jc w:val="center"/>
            </w:pPr>
            <w:r>
              <w:t>Yes</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BF7E86C" w14:textId="77777777" w:rsidR="006F60CE" w:rsidRDefault="006F60CE" w:rsidP="00C3488E">
            <w:pPr>
              <w:jc w:val="center"/>
            </w:pPr>
            <w:r>
              <w:t>No</w:t>
            </w:r>
          </w:p>
        </w:tc>
        <w:tc>
          <w:tcPr>
            <w:tcW w:w="4471"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09C660D" w14:textId="77777777" w:rsidR="006F60CE" w:rsidRDefault="006F60CE" w:rsidP="00C3488E"/>
        </w:tc>
      </w:tr>
      <w:tr w:rsidR="006F60CE" w14:paraId="703F5A8F" w14:textId="77777777" w:rsidTr="00A06BE6">
        <w:trPr>
          <w:trHeight w:val="307"/>
        </w:trPr>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C0D2E" w14:textId="77777777" w:rsidR="006F60CE" w:rsidRDefault="006F60CE" w:rsidP="00C3488E">
            <w:pPr>
              <w:jc w:val="right"/>
            </w:pPr>
            <w:r>
              <w:t xml:space="preserve">Free Wi-Fi? </w:t>
            </w:r>
          </w:p>
        </w:tc>
        <w:tc>
          <w:tcPr>
            <w:tcW w:w="1197" w:type="dxa"/>
            <w:tcBorders>
              <w:top w:val="single" w:sz="4" w:space="0" w:color="auto"/>
              <w:left w:val="single" w:sz="4" w:space="0" w:color="auto"/>
              <w:bottom w:val="single" w:sz="4" w:space="0" w:color="auto"/>
              <w:right w:val="single" w:sz="4" w:space="0" w:color="auto"/>
            </w:tcBorders>
            <w:vAlign w:val="center"/>
          </w:tcPr>
          <w:p w14:paraId="5AB261BF" w14:textId="77777777" w:rsidR="006F60CE" w:rsidRDefault="006F60CE" w:rsidP="00C3488E">
            <w:pPr>
              <w:jc w:val="center"/>
            </w:pPr>
            <w:r>
              <w:t>Yes</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085CB389" w14:textId="77777777" w:rsidR="006F60CE" w:rsidRDefault="006F60CE" w:rsidP="00C3488E">
            <w:pPr>
              <w:jc w:val="center"/>
            </w:pPr>
            <w:r>
              <w:t>No</w:t>
            </w:r>
          </w:p>
        </w:tc>
        <w:tc>
          <w:tcPr>
            <w:tcW w:w="4471"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676030DC" w14:textId="77777777" w:rsidR="006F60CE" w:rsidRDefault="006F60CE" w:rsidP="00C3488E"/>
        </w:tc>
      </w:tr>
      <w:tr w:rsidR="006F60CE" w14:paraId="40332EC8" w14:textId="77777777" w:rsidTr="00A06BE6">
        <w:trPr>
          <w:trHeight w:val="307"/>
        </w:trPr>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21CB4" w14:textId="77777777" w:rsidR="006F60CE" w:rsidRDefault="006F60CE" w:rsidP="00C3488E">
            <w:pPr>
              <w:jc w:val="right"/>
            </w:pPr>
            <w:r>
              <w:t xml:space="preserve">Available onsite parking? </w:t>
            </w:r>
          </w:p>
        </w:tc>
        <w:tc>
          <w:tcPr>
            <w:tcW w:w="1197" w:type="dxa"/>
            <w:tcBorders>
              <w:top w:val="single" w:sz="4" w:space="0" w:color="auto"/>
              <w:left w:val="single" w:sz="4" w:space="0" w:color="auto"/>
              <w:bottom w:val="single" w:sz="4" w:space="0" w:color="auto"/>
              <w:right w:val="single" w:sz="4" w:space="0" w:color="auto"/>
            </w:tcBorders>
            <w:vAlign w:val="center"/>
          </w:tcPr>
          <w:p w14:paraId="1F940FDE" w14:textId="77777777" w:rsidR="006F60CE" w:rsidRDefault="006F60CE" w:rsidP="00C3488E">
            <w:pPr>
              <w:jc w:val="center"/>
            </w:pPr>
            <w:r>
              <w:t>Yes</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0E316F66" w14:textId="77777777" w:rsidR="006F60CE" w:rsidRDefault="006F60CE" w:rsidP="00C3488E">
            <w:pPr>
              <w:jc w:val="center"/>
            </w:pPr>
            <w:r>
              <w:t>No</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B54EE" w14:textId="77777777" w:rsidR="006F60CE" w:rsidRDefault="006F60CE" w:rsidP="00C3488E">
            <w:pPr>
              <w:jc w:val="right"/>
            </w:pPr>
            <w:r>
              <w:t>Car Park Capacity</w:t>
            </w:r>
          </w:p>
        </w:tc>
        <w:tc>
          <w:tcPr>
            <w:tcW w:w="2329" w:type="dxa"/>
            <w:gridSpan w:val="2"/>
            <w:tcBorders>
              <w:top w:val="single" w:sz="4" w:space="0" w:color="auto"/>
              <w:left w:val="single" w:sz="4" w:space="0" w:color="auto"/>
              <w:bottom w:val="single" w:sz="4" w:space="0" w:color="auto"/>
              <w:right w:val="single" w:sz="4" w:space="0" w:color="auto"/>
            </w:tcBorders>
          </w:tcPr>
          <w:p w14:paraId="1145DCC5" w14:textId="77777777" w:rsidR="006F60CE" w:rsidRDefault="006F60CE" w:rsidP="00C3488E"/>
        </w:tc>
      </w:tr>
      <w:tr w:rsidR="006F60CE" w:rsidRPr="00F00C14" w14:paraId="18514E07" w14:textId="77777777" w:rsidTr="00A06BE6">
        <w:trPr>
          <w:trHeight w:val="307"/>
        </w:trPr>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697DC" w14:textId="77777777" w:rsidR="006F60CE" w:rsidRDefault="006F60CE" w:rsidP="00C3488E">
            <w:pPr>
              <w:jc w:val="right"/>
            </w:pPr>
            <w:r>
              <w:t>Nearby alternative parking?</w:t>
            </w:r>
          </w:p>
        </w:tc>
        <w:tc>
          <w:tcPr>
            <w:tcW w:w="1197" w:type="dxa"/>
            <w:tcBorders>
              <w:top w:val="single" w:sz="4" w:space="0" w:color="auto"/>
              <w:left w:val="single" w:sz="4" w:space="0" w:color="auto"/>
              <w:bottom w:val="single" w:sz="4" w:space="0" w:color="auto"/>
              <w:right w:val="single" w:sz="4" w:space="0" w:color="auto"/>
            </w:tcBorders>
            <w:vAlign w:val="center"/>
          </w:tcPr>
          <w:p w14:paraId="5A4C874C" w14:textId="77777777" w:rsidR="006F60CE" w:rsidRDefault="006F60CE" w:rsidP="00C3488E">
            <w:pPr>
              <w:jc w:val="center"/>
            </w:pPr>
            <w:r>
              <w:t>Yes</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44EF472D" w14:textId="77777777" w:rsidR="006F60CE" w:rsidRDefault="006F60CE" w:rsidP="00C3488E">
            <w:pPr>
              <w:jc w:val="center"/>
            </w:pPr>
            <w:r>
              <w:t>No</w:t>
            </w:r>
          </w:p>
        </w:tc>
        <w:tc>
          <w:tcPr>
            <w:tcW w:w="447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8A57A6" w14:textId="77777777" w:rsidR="006F60CE" w:rsidRPr="00F00C14" w:rsidRDefault="006F60CE" w:rsidP="00C3488E">
            <w:pPr>
              <w:rPr>
                <w:i/>
                <w:u w:val="single"/>
              </w:rPr>
            </w:pPr>
          </w:p>
        </w:tc>
      </w:tr>
      <w:tr w:rsidR="006F60CE" w14:paraId="0A760A11" w14:textId="77777777" w:rsidTr="00A06BE6">
        <w:trPr>
          <w:trHeight w:val="1233"/>
        </w:trPr>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B2A67" w14:textId="77777777" w:rsidR="006F60CE" w:rsidRDefault="006F60CE" w:rsidP="00C3488E">
            <w:r>
              <w:t>Other Information and How to Book the Venue (Enclose brochures, price lists, web links etc.)</w:t>
            </w:r>
          </w:p>
        </w:tc>
        <w:tc>
          <w:tcPr>
            <w:tcW w:w="6634" w:type="dxa"/>
            <w:gridSpan w:val="7"/>
            <w:tcBorders>
              <w:top w:val="single" w:sz="4" w:space="0" w:color="auto"/>
              <w:left w:val="single" w:sz="4" w:space="0" w:color="auto"/>
              <w:bottom w:val="single" w:sz="4" w:space="0" w:color="auto"/>
              <w:right w:val="single" w:sz="4" w:space="0" w:color="auto"/>
            </w:tcBorders>
          </w:tcPr>
          <w:p w14:paraId="4D066C50" w14:textId="77777777" w:rsidR="006F60CE" w:rsidRDefault="006F60CE" w:rsidP="00C3488E"/>
        </w:tc>
      </w:tr>
    </w:tbl>
    <w:p w14:paraId="5DB3BD8B" w14:textId="77777777" w:rsidR="004448FB" w:rsidRDefault="004448FB">
      <w:pPr>
        <w:rPr>
          <w:b/>
        </w:rPr>
      </w:pPr>
      <w:r>
        <w:rPr>
          <w:b/>
        </w:rPr>
        <w:br w:type="page"/>
      </w:r>
    </w:p>
    <w:p w14:paraId="52DEA984" w14:textId="77777777" w:rsidR="00E06514" w:rsidRDefault="00E06514" w:rsidP="00481EEA">
      <w:pPr>
        <w:pStyle w:val="Heading1"/>
      </w:pPr>
      <w:r w:rsidRPr="00EE2AD2">
        <w:lastRenderedPageBreak/>
        <w:t>COMPLIANCE WITH EC LEGISLATION/ UK PROCUREMENT LEGISLATION</w:t>
      </w:r>
    </w:p>
    <w:p w14:paraId="431A1A30" w14:textId="77777777" w:rsidR="000F3E22" w:rsidRPr="00A35B44" w:rsidRDefault="000F3E22" w:rsidP="000F3E22">
      <w:pPr>
        <w:jc w:val="center"/>
        <w:rPr>
          <w:b/>
          <w:sz w:val="28"/>
        </w:rPr>
      </w:pPr>
      <w:r w:rsidRPr="00A35B44">
        <w:rPr>
          <w:b/>
          <w:sz w:val="28"/>
        </w:rPr>
        <w:t>Pass/Fail</w:t>
      </w:r>
    </w:p>
    <w:tbl>
      <w:tblPr>
        <w:tblW w:w="9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438"/>
        <w:gridCol w:w="1031"/>
      </w:tblGrid>
      <w:tr w:rsidR="00E06514" w:rsidRPr="00EE2AD2" w14:paraId="74C02858" w14:textId="77777777" w:rsidTr="00CF64D0">
        <w:trPr>
          <w:trHeight w:val="972"/>
        </w:trPr>
        <w:tc>
          <w:tcPr>
            <w:tcW w:w="7978" w:type="dxa"/>
            <w:gridSpan w:val="2"/>
            <w:tcBorders>
              <w:top w:val="single" w:sz="4" w:space="0" w:color="auto"/>
              <w:left w:val="single" w:sz="4" w:space="0" w:color="auto"/>
              <w:bottom w:val="single" w:sz="4" w:space="0" w:color="auto"/>
              <w:right w:val="single" w:sz="4" w:space="0" w:color="auto"/>
            </w:tcBorders>
            <w:shd w:val="clear" w:color="auto" w:fill="F2F2F2"/>
          </w:tcPr>
          <w:p w14:paraId="5B6B8DE9" w14:textId="77777777" w:rsidR="00E06514" w:rsidRPr="00201182" w:rsidRDefault="00E06514" w:rsidP="00481EEA">
            <w:pPr>
              <w:rPr>
                <w:rFonts w:cs="Arial"/>
              </w:rPr>
            </w:pPr>
            <w:r w:rsidRPr="00201182">
              <w:rPr>
                <w:rFonts w:cs="Arial"/>
              </w:rPr>
              <w:t xml:space="preserve">Do any of the circumstances as set out in the summary below of ineligibility conditions apply? </w:t>
            </w:r>
          </w:p>
        </w:tc>
        <w:tc>
          <w:tcPr>
            <w:tcW w:w="1031" w:type="dxa"/>
            <w:tcBorders>
              <w:top w:val="single" w:sz="8" w:space="0" w:color="auto"/>
              <w:left w:val="single" w:sz="4" w:space="0" w:color="auto"/>
              <w:bottom w:val="single" w:sz="8" w:space="0" w:color="auto"/>
              <w:right w:val="single" w:sz="8" w:space="0" w:color="auto"/>
            </w:tcBorders>
            <w:vAlign w:val="center"/>
          </w:tcPr>
          <w:p w14:paraId="483001C1" w14:textId="77777777" w:rsidR="00E06514" w:rsidRPr="00201182" w:rsidRDefault="00180BB0" w:rsidP="00481EEA">
            <w:pPr>
              <w:rPr>
                <w:rFonts w:cs="Arial"/>
              </w:rPr>
            </w:pPr>
            <w:r>
              <w:rPr>
                <w:rFonts w:cs="Arial"/>
              </w:rPr>
              <w:t>Yes/No</w:t>
            </w:r>
          </w:p>
        </w:tc>
      </w:tr>
      <w:tr w:rsidR="00E06514" w:rsidRPr="00EE2AD2" w14:paraId="65D4D8B4" w14:textId="77777777" w:rsidTr="001F1FE9">
        <w:trPr>
          <w:trHeight w:val="972"/>
        </w:trPr>
        <w:tc>
          <w:tcPr>
            <w:tcW w:w="2540" w:type="dxa"/>
            <w:tcBorders>
              <w:top w:val="single" w:sz="8" w:space="0" w:color="auto"/>
              <w:left w:val="single" w:sz="8" w:space="0" w:color="auto"/>
              <w:bottom w:val="single" w:sz="8" w:space="0" w:color="auto"/>
              <w:right w:val="single" w:sz="8" w:space="0" w:color="auto"/>
            </w:tcBorders>
            <w:shd w:val="clear" w:color="auto" w:fill="F2F2F2"/>
          </w:tcPr>
          <w:p w14:paraId="0AD8B301" w14:textId="77777777" w:rsidR="00E06514" w:rsidRPr="00201182" w:rsidRDefault="00E06514" w:rsidP="00481EEA">
            <w:pPr>
              <w:rPr>
                <w:rFonts w:cs="Arial"/>
              </w:rPr>
            </w:pPr>
            <w:r w:rsidRPr="00201182">
              <w:rPr>
                <w:rFonts w:cs="Arial"/>
              </w:rPr>
              <w:t>If yes, please supply details:</w:t>
            </w:r>
          </w:p>
        </w:tc>
        <w:tc>
          <w:tcPr>
            <w:tcW w:w="6469" w:type="dxa"/>
            <w:gridSpan w:val="2"/>
            <w:tcBorders>
              <w:top w:val="single" w:sz="8" w:space="0" w:color="auto"/>
              <w:left w:val="single" w:sz="8" w:space="0" w:color="auto"/>
              <w:bottom w:val="single" w:sz="8" w:space="0" w:color="auto"/>
              <w:right w:val="single" w:sz="8" w:space="0" w:color="auto"/>
            </w:tcBorders>
          </w:tcPr>
          <w:p w14:paraId="3657EABB" w14:textId="77777777" w:rsidR="00E06514" w:rsidRPr="00201182" w:rsidRDefault="00E06514" w:rsidP="00481EEA">
            <w:pPr>
              <w:rPr>
                <w:rFonts w:cs="Arial"/>
              </w:rPr>
            </w:pPr>
          </w:p>
        </w:tc>
      </w:tr>
      <w:tr w:rsidR="00E06514" w:rsidRPr="00EE2AD2" w14:paraId="261AF291" w14:textId="77777777" w:rsidTr="001F1FE9">
        <w:trPr>
          <w:cantSplit/>
          <w:trHeight w:val="648"/>
        </w:trPr>
        <w:tc>
          <w:tcPr>
            <w:tcW w:w="9009" w:type="dxa"/>
            <w:gridSpan w:val="3"/>
            <w:tcBorders>
              <w:top w:val="single" w:sz="8" w:space="0" w:color="auto"/>
              <w:left w:val="single" w:sz="8" w:space="0" w:color="auto"/>
              <w:bottom w:val="single" w:sz="8" w:space="0" w:color="auto"/>
              <w:right w:val="single" w:sz="8" w:space="0" w:color="auto"/>
            </w:tcBorders>
            <w:shd w:val="clear" w:color="auto" w:fill="F2F2F2"/>
          </w:tcPr>
          <w:p w14:paraId="318A6A40" w14:textId="77777777" w:rsidR="00E06514" w:rsidRPr="00201182" w:rsidRDefault="00E06514" w:rsidP="00481EEA">
            <w:pPr>
              <w:rPr>
                <w:rFonts w:cs="Arial"/>
              </w:rPr>
            </w:pPr>
            <w:r w:rsidRPr="00201182">
              <w:rPr>
                <w:rFonts w:cs="Arial"/>
              </w:rPr>
              <w:t xml:space="preserve">We may seek evidence </w:t>
            </w:r>
            <w:proofErr w:type="gramStart"/>
            <w:r w:rsidRPr="00201182">
              <w:rPr>
                <w:rFonts w:cs="Arial"/>
              </w:rPr>
              <w:t>at a later date</w:t>
            </w:r>
            <w:proofErr w:type="gramEnd"/>
            <w:r w:rsidRPr="00201182">
              <w:rPr>
                <w:rFonts w:cs="Arial"/>
              </w:rPr>
              <w:t xml:space="preserve">, in confirmation of your answer.  </w:t>
            </w:r>
          </w:p>
        </w:tc>
      </w:tr>
    </w:tbl>
    <w:p w14:paraId="72D86BEE" w14:textId="77777777" w:rsidR="00881BBB" w:rsidRDefault="00881BBB" w:rsidP="00881BBB"/>
    <w:p w14:paraId="73B17FB2" w14:textId="77777777" w:rsidR="00E06514" w:rsidRPr="00EE2AD2" w:rsidRDefault="00E06514" w:rsidP="00881BBB">
      <w:pPr>
        <w:pStyle w:val="Heading2"/>
      </w:pPr>
      <w:r w:rsidRPr="00EE2AD2">
        <w:t xml:space="preserve">SUMMARY OF INELIGIBILITY CONDITIONS </w:t>
      </w:r>
    </w:p>
    <w:p w14:paraId="7B7CC1C7"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7C22E1B5"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is the subject of proceedings for a declaration of bankruptcy, for an order for compulsory winding up or administration by the court or of an arrangement with creditors or of any other similar proceedings under national laws </w:t>
      </w:r>
      <w:proofErr w:type="gramStart"/>
      <w:r w:rsidRPr="00907C71">
        <w:rPr>
          <w:rFonts w:cs="Arial"/>
        </w:rPr>
        <w:t>and regulations;</w:t>
      </w:r>
      <w:proofErr w:type="gramEnd"/>
    </w:p>
    <w:p w14:paraId="6139C4AE"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has been convicted by a judgment which has the force of res judicata in accordance with the legal provisions of the country of any offence concerning his professional </w:t>
      </w:r>
      <w:proofErr w:type="gramStart"/>
      <w:r w:rsidRPr="00907C71">
        <w:rPr>
          <w:rFonts w:cs="Arial"/>
        </w:rPr>
        <w:t>conduct;</w:t>
      </w:r>
      <w:proofErr w:type="gramEnd"/>
    </w:p>
    <w:p w14:paraId="003B1EA8"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has been guilty of grave professional misconduct proven by any means which the contracting authorities can </w:t>
      </w:r>
      <w:proofErr w:type="gramStart"/>
      <w:r w:rsidRPr="00907C71">
        <w:rPr>
          <w:rFonts w:cs="Arial"/>
        </w:rPr>
        <w:t>demonstrate;</w:t>
      </w:r>
      <w:proofErr w:type="gramEnd"/>
    </w:p>
    <w:p w14:paraId="7713C588"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has not fulfilled obligations relating to the payment of social security contributions in accordance with the legal provisions of the country in which he is established or with those of the country of the </w:t>
      </w:r>
      <w:proofErr w:type="gramStart"/>
      <w:r w:rsidRPr="00907C71">
        <w:rPr>
          <w:rFonts w:cs="Arial"/>
        </w:rPr>
        <w:t>contracting  authority</w:t>
      </w:r>
      <w:proofErr w:type="gramEnd"/>
      <w:r w:rsidRPr="00907C71">
        <w:rPr>
          <w:rFonts w:cs="Arial"/>
        </w:rPr>
        <w:t>;</w:t>
      </w:r>
    </w:p>
    <w:p w14:paraId="4C8DDC95"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has not fulfilled obligations relating to the payment of taxes in accordance with the legal provisions of the country in which he is established or with those of the country of the contracting </w:t>
      </w:r>
      <w:proofErr w:type="gramStart"/>
      <w:r w:rsidRPr="00907C71">
        <w:rPr>
          <w:rFonts w:cs="Arial"/>
        </w:rPr>
        <w:t>authority;</w:t>
      </w:r>
      <w:proofErr w:type="gramEnd"/>
    </w:p>
    <w:p w14:paraId="795410D3"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is guilty of serious misrepresentation in supplying the information required under this Section or has not supplied such </w:t>
      </w:r>
      <w:proofErr w:type="gramStart"/>
      <w:r w:rsidRPr="00907C71">
        <w:rPr>
          <w:rFonts w:cs="Arial"/>
        </w:rPr>
        <w:t>information;</w:t>
      </w:r>
      <w:proofErr w:type="gramEnd"/>
    </w:p>
    <w:p w14:paraId="2916608C"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participation in a criminal organisation, as defined in Article 2(1) of Council Joint Action 98/733/</w:t>
      </w:r>
      <w:proofErr w:type="gramStart"/>
      <w:r w:rsidRPr="00907C71">
        <w:rPr>
          <w:rFonts w:cs="Arial"/>
        </w:rPr>
        <w:t>JHA;</w:t>
      </w:r>
      <w:proofErr w:type="gramEnd"/>
    </w:p>
    <w:p w14:paraId="5A8291EE"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has been the subject of a conviction for corruption, as defined in Article 3 of the Council Act of 26 May 1972 and Article 3(1) of Council Joint Action 98/742/JHA3 </w:t>
      </w:r>
      <w:proofErr w:type="gramStart"/>
      <w:r w:rsidRPr="00907C71">
        <w:rPr>
          <w:rFonts w:cs="Arial"/>
        </w:rPr>
        <w:t>respectively;</w:t>
      </w:r>
      <w:proofErr w:type="gramEnd"/>
    </w:p>
    <w:p w14:paraId="5E2544B4"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 has been the subject of a conviction for fraud within the meaning of Article 1 of the Convention relating to the protection of the financial interests of the European </w:t>
      </w:r>
      <w:proofErr w:type="gramStart"/>
      <w:r w:rsidRPr="00907C71">
        <w:rPr>
          <w:rFonts w:cs="Arial"/>
        </w:rPr>
        <w:t>Communities;</w:t>
      </w:r>
      <w:proofErr w:type="gramEnd"/>
    </w:p>
    <w:p w14:paraId="56C9A726" w14:textId="537B6904" w:rsidR="00E06514" w:rsidRPr="00907C71" w:rsidRDefault="00E06514" w:rsidP="00C75FBA">
      <w:pPr>
        <w:pStyle w:val="ListParagraph"/>
        <w:numPr>
          <w:ilvl w:val="0"/>
          <w:numId w:val="7"/>
        </w:numPr>
        <w:spacing w:after="0" w:line="240" w:lineRule="auto"/>
        <w:jc w:val="both"/>
        <w:rPr>
          <w:rFonts w:cs="Arial"/>
        </w:rPr>
      </w:pPr>
      <w:r w:rsidRPr="00907C71">
        <w:rPr>
          <w:rFonts w:cs="Arial"/>
        </w:rPr>
        <w:t>has been the subject of a conviction for money laundering, as defined in Article 1 of Council Directive 91/308/</w:t>
      </w:r>
      <w:smartTag w:uri="urn:schemas-microsoft-com:office:smarttags" w:element="stockticker">
        <w:r w:rsidRPr="00907C71">
          <w:rPr>
            <w:rFonts w:cs="Arial"/>
          </w:rPr>
          <w:t>EEC</w:t>
        </w:r>
      </w:smartTag>
      <w:r w:rsidRPr="00907C71">
        <w:rPr>
          <w:rFonts w:cs="Arial"/>
        </w:rPr>
        <w:t xml:space="preserve"> of 10.61991 on prevention of the use of the financial system for the purpose of money laundering. Statement confirming that items (a) to (k) do not apply.</w:t>
      </w:r>
    </w:p>
    <w:p w14:paraId="111E3D04" w14:textId="77777777" w:rsidR="00174042" w:rsidRPr="00907C71" w:rsidRDefault="00174042" w:rsidP="00174042">
      <w:pPr>
        <w:pStyle w:val="ListParagraph"/>
        <w:spacing w:after="0" w:line="240" w:lineRule="auto"/>
        <w:jc w:val="both"/>
        <w:rPr>
          <w:rFonts w:cs="Arial"/>
        </w:rPr>
      </w:pPr>
    </w:p>
    <w:p w14:paraId="50177E9F" w14:textId="463152A6" w:rsidR="00174042" w:rsidRPr="00907C71" w:rsidRDefault="00174042" w:rsidP="00174042">
      <w:pPr>
        <w:pStyle w:val="ListParagraph"/>
        <w:spacing w:after="0" w:line="240" w:lineRule="auto"/>
        <w:jc w:val="both"/>
        <w:rPr>
          <w:rFonts w:cs="Arial"/>
        </w:rPr>
      </w:pPr>
      <w:r w:rsidRPr="00907C71">
        <w:rPr>
          <w:rFonts w:cs="Arial"/>
        </w:rPr>
        <w:t xml:space="preserve">Please remember to email this response to </w:t>
      </w:r>
      <w:hyperlink r:id="rId10" w:history="1">
        <w:r w:rsidR="002F5E44" w:rsidRPr="005A79C3">
          <w:rPr>
            <w:rStyle w:val="Hyperlink"/>
            <w:rFonts w:cs="Arial"/>
          </w:rPr>
          <w:t>procurement@blueorchid.co.uk</w:t>
        </w:r>
      </w:hyperlink>
      <w:r w:rsidRPr="00907C71">
        <w:rPr>
          <w:rFonts w:cs="Arial"/>
        </w:rPr>
        <w:t xml:space="preserve"> before the deadline specified in Timescales.</w:t>
      </w:r>
    </w:p>
    <w:p w14:paraId="30616E22" w14:textId="77777777" w:rsidR="000F3E22" w:rsidRDefault="000F3E22">
      <w:pPr>
        <w:rPr>
          <w:rFonts w:cs="Arial"/>
          <w:sz w:val="24"/>
          <w:szCs w:val="24"/>
        </w:rPr>
      </w:pPr>
      <w:r>
        <w:rPr>
          <w:rFonts w:cs="Arial"/>
          <w:sz w:val="24"/>
          <w:szCs w:val="24"/>
        </w:rPr>
        <w:br w:type="page"/>
      </w:r>
    </w:p>
    <w:p w14:paraId="24CAD60F" w14:textId="77777777" w:rsidR="000F3E22" w:rsidRDefault="000F3E22" w:rsidP="003A20C6">
      <w:pPr>
        <w:pStyle w:val="Title"/>
      </w:pPr>
      <w:r>
        <w:lastRenderedPageBreak/>
        <w:t>Appendix 1 – Evaluation Criteria</w:t>
      </w:r>
    </w:p>
    <w:p w14:paraId="1482D0C6" w14:textId="77777777" w:rsidR="000F3E22" w:rsidRDefault="000F3E22" w:rsidP="000F3E22">
      <w:pPr>
        <w:pStyle w:val="ListParagraph"/>
        <w:spacing w:line="240" w:lineRule="auto"/>
        <w:jc w:val="both"/>
        <w:rPr>
          <w:rFonts w:cs="Arial"/>
        </w:rPr>
      </w:pPr>
      <w:r w:rsidRPr="00991CD8">
        <w:rPr>
          <w:rFonts w:cs="Arial"/>
        </w:rPr>
        <w:t>Blue Orchid intends</w:t>
      </w:r>
      <w:r>
        <w:rPr>
          <w:rFonts w:cs="Arial"/>
        </w:rPr>
        <w:t xml:space="preserve"> to award the contract to the Tenderer offering the most economically advantageous Tender in accordance with the Award Criteria and weightings set out below.</w:t>
      </w:r>
    </w:p>
    <w:p w14:paraId="798FEECE" w14:textId="77777777" w:rsidR="006F6E38" w:rsidRDefault="006F6E38" w:rsidP="000F3E22">
      <w:pPr>
        <w:pStyle w:val="ListParagraph"/>
        <w:spacing w:line="240" w:lineRule="auto"/>
        <w:jc w:val="both"/>
        <w:rPr>
          <w:rFonts w:cs="Arial"/>
        </w:rPr>
      </w:pPr>
    </w:p>
    <w:p w14:paraId="21C93B7D" w14:textId="77777777" w:rsidR="000F3E22" w:rsidRDefault="000F3E22" w:rsidP="000F3E22">
      <w:pPr>
        <w:pStyle w:val="ListParagraph"/>
        <w:spacing w:after="0" w:line="240" w:lineRule="auto"/>
        <w:jc w:val="both"/>
        <w:rPr>
          <w:rFonts w:cs="Arial"/>
        </w:rPr>
      </w:pPr>
      <w:r>
        <w:rPr>
          <w:rFonts w:cs="Arial"/>
        </w:rPr>
        <w:t>The following evaluation process will be undertaken:</w:t>
      </w:r>
    </w:p>
    <w:p w14:paraId="3FFBFE8E" w14:textId="77777777" w:rsidR="006F6E38" w:rsidRDefault="006F6E38" w:rsidP="000F3E22">
      <w:pPr>
        <w:pStyle w:val="ListParagraph"/>
        <w:spacing w:after="0" w:line="240" w:lineRule="auto"/>
        <w:jc w:val="both"/>
        <w:rPr>
          <w:rFonts w:cs="Arial"/>
        </w:rPr>
      </w:pPr>
    </w:p>
    <w:p w14:paraId="416166C0" w14:textId="77777777" w:rsidR="000F3E22" w:rsidRDefault="000F3E22" w:rsidP="000F3E22">
      <w:pPr>
        <w:pStyle w:val="ListParagraph"/>
        <w:numPr>
          <w:ilvl w:val="0"/>
          <w:numId w:val="25"/>
        </w:numPr>
        <w:spacing w:after="0" w:line="240" w:lineRule="auto"/>
        <w:jc w:val="both"/>
        <w:rPr>
          <w:rFonts w:cs="Arial"/>
        </w:rPr>
      </w:pPr>
      <w:r>
        <w:rPr>
          <w:rFonts w:cs="Arial"/>
          <w:b/>
        </w:rPr>
        <w:t xml:space="preserve">Compliance Check Stage: </w:t>
      </w:r>
      <w:r>
        <w:rPr>
          <w:rFonts w:cs="Arial"/>
        </w:rPr>
        <w:t>to confirm completeness and compliance with the Tender Requirements. Blue Orchid may, at its discretion, reject a Tender which is incomplete or non-compliant;</w:t>
      </w:r>
    </w:p>
    <w:p w14:paraId="50AFB36F" w14:textId="77777777" w:rsidR="006F6E38" w:rsidRDefault="000F3E22" w:rsidP="006F6E38">
      <w:pPr>
        <w:pStyle w:val="ListParagraph"/>
        <w:numPr>
          <w:ilvl w:val="0"/>
          <w:numId w:val="25"/>
        </w:numPr>
        <w:jc w:val="both"/>
      </w:pPr>
      <w:r w:rsidRPr="006F6E38">
        <w:rPr>
          <w:rFonts w:cs="Arial"/>
          <w:b/>
        </w:rPr>
        <w:t>Evaluation Stage:</w:t>
      </w:r>
      <w:r w:rsidRPr="006F6E38">
        <w:rPr>
          <w:rFonts w:cs="Arial"/>
        </w:rPr>
        <w:t xml:space="preserve"> </w:t>
      </w:r>
      <w:r w:rsidR="006F6E38">
        <w:t xml:space="preserve">Venues will be selected on a most economically advantageous tender process </w:t>
      </w:r>
      <w:r w:rsidR="006F6E38" w:rsidRPr="006F6E38">
        <w:rPr>
          <w:u w:val="single"/>
        </w:rPr>
        <w:t>when each workshop is released</w:t>
      </w:r>
      <w:r w:rsidR="006F6E38">
        <w:t xml:space="preserve"> combining </w:t>
      </w:r>
      <w:r w:rsidR="00CF64D0">
        <w:t xml:space="preserve">equally lowest </w:t>
      </w:r>
      <w:r w:rsidR="006F6E38">
        <w:t>cost with suitability/location of the venue in regards to target audience.</w:t>
      </w:r>
    </w:p>
    <w:p w14:paraId="7F838170" w14:textId="77777777" w:rsidR="00180BB0" w:rsidRPr="00180BB0" w:rsidRDefault="00180BB0" w:rsidP="00180BB0">
      <w:pPr>
        <w:ind w:left="720"/>
        <w:jc w:val="center"/>
        <w:rPr>
          <w:b/>
          <w:kern w:val="28"/>
        </w:rPr>
      </w:pPr>
      <w:r w:rsidRPr="00180BB0">
        <w:rPr>
          <w:b/>
          <w:kern w:val="28"/>
        </w:rPr>
        <w:t>Price Scoring Methodology</w:t>
      </w:r>
    </w:p>
    <w:p w14:paraId="730996E7" w14:textId="77777777" w:rsidR="000F3E22" w:rsidRDefault="000F3E22" w:rsidP="003A20C6">
      <w:pPr>
        <w:ind w:left="720"/>
        <w:jc w:val="both"/>
        <w:rPr>
          <w:kern w:val="28"/>
        </w:rPr>
      </w:pPr>
      <w:r w:rsidRPr="00EA40A9">
        <w:rPr>
          <w:kern w:val="28"/>
        </w:rPr>
        <w:t>The lowest price</w:t>
      </w:r>
      <w:r w:rsidR="005E0DF9">
        <w:rPr>
          <w:kern w:val="28"/>
        </w:rPr>
        <w:t xml:space="preserve"> </w:t>
      </w:r>
      <w:r w:rsidRPr="00EA40A9">
        <w:rPr>
          <w:kern w:val="28"/>
        </w:rPr>
        <w:t xml:space="preserve">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270" w:type="dxa"/>
        <w:tblInd w:w="695" w:type="dxa"/>
        <w:tblLook w:val="04A0" w:firstRow="1" w:lastRow="0" w:firstColumn="1" w:lastColumn="0" w:noHBand="0" w:noVBand="1"/>
      </w:tblPr>
      <w:tblGrid>
        <w:gridCol w:w="5332"/>
        <w:gridCol w:w="2938"/>
      </w:tblGrid>
      <w:tr w:rsidR="000F3E22" w:rsidRPr="00EA40A9" w14:paraId="648E3A42" w14:textId="77777777" w:rsidTr="003A20C6">
        <w:trPr>
          <w:trHeight w:val="305"/>
        </w:trPr>
        <w:tc>
          <w:tcPr>
            <w:tcW w:w="5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F0770" w14:textId="77777777" w:rsidR="000F3E22" w:rsidRPr="00EA40A9" w:rsidRDefault="000F3E22" w:rsidP="00025412">
            <w:pPr>
              <w:rPr>
                <w:b/>
                <w:bCs/>
                <w:color w:val="000000"/>
              </w:rPr>
            </w:pPr>
            <w:r w:rsidRPr="00EA40A9">
              <w:rPr>
                <w:b/>
                <w:bCs/>
                <w:color w:val="000000"/>
                <w:szCs w:val="22"/>
              </w:rPr>
              <w:t>Scoring Model on Pricing</w:t>
            </w:r>
          </w:p>
        </w:tc>
        <w:tc>
          <w:tcPr>
            <w:tcW w:w="2938" w:type="dxa"/>
            <w:tcBorders>
              <w:top w:val="single" w:sz="4" w:space="0" w:color="auto"/>
              <w:left w:val="nil"/>
              <w:bottom w:val="single" w:sz="4" w:space="0" w:color="auto"/>
              <w:right w:val="single" w:sz="4" w:space="0" w:color="auto"/>
            </w:tcBorders>
            <w:shd w:val="clear" w:color="auto" w:fill="auto"/>
            <w:noWrap/>
            <w:vAlign w:val="bottom"/>
            <w:hideMark/>
          </w:tcPr>
          <w:p w14:paraId="59FD46B3" w14:textId="77777777" w:rsidR="000F3E22" w:rsidRPr="00EA40A9" w:rsidRDefault="000F3E22" w:rsidP="00025412">
            <w:pPr>
              <w:rPr>
                <w:color w:val="000000"/>
              </w:rPr>
            </w:pPr>
            <w:r w:rsidRPr="00EA40A9">
              <w:rPr>
                <w:color w:val="000000"/>
                <w:szCs w:val="22"/>
              </w:rPr>
              <w:t> </w:t>
            </w:r>
          </w:p>
        </w:tc>
      </w:tr>
      <w:tr w:rsidR="000F3E22" w:rsidRPr="00EA40A9" w14:paraId="44D276E5" w14:textId="77777777" w:rsidTr="003A20C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3F5DF222" w14:textId="77777777" w:rsidR="000F3E22" w:rsidRPr="00F36C23" w:rsidRDefault="000F3E22" w:rsidP="00025412">
            <w:pPr>
              <w:rPr>
                <w:b/>
                <w:color w:val="000000"/>
              </w:rPr>
            </w:pPr>
            <w:r w:rsidRPr="00F36C23">
              <w:rPr>
                <w:b/>
                <w:color w:val="000000"/>
                <w:szCs w:val="22"/>
              </w:rPr>
              <w:t>Lowest Price</w:t>
            </w:r>
          </w:p>
        </w:tc>
        <w:tc>
          <w:tcPr>
            <w:tcW w:w="2938" w:type="dxa"/>
            <w:tcBorders>
              <w:top w:val="nil"/>
              <w:left w:val="nil"/>
              <w:bottom w:val="single" w:sz="4" w:space="0" w:color="auto"/>
              <w:right w:val="single" w:sz="4" w:space="0" w:color="auto"/>
            </w:tcBorders>
            <w:shd w:val="clear" w:color="auto" w:fill="auto"/>
            <w:noWrap/>
            <w:vAlign w:val="bottom"/>
            <w:hideMark/>
          </w:tcPr>
          <w:p w14:paraId="121EDB5F" w14:textId="77777777" w:rsidR="000F3E22" w:rsidRPr="00F36C23" w:rsidRDefault="000F3E22" w:rsidP="00025412">
            <w:pPr>
              <w:jc w:val="center"/>
              <w:rPr>
                <w:b/>
                <w:color w:val="000000"/>
              </w:rPr>
            </w:pPr>
            <w:r w:rsidRPr="00F36C23">
              <w:rPr>
                <w:b/>
                <w:color w:val="000000"/>
                <w:szCs w:val="22"/>
              </w:rPr>
              <w:t>£500</w:t>
            </w:r>
          </w:p>
        </w:tc>
      </w:tr>
      <w:tr w:rsidR="000F3E22" w:rsidRPr="00EA40A9" w14:paraId="43D488A5" w14:textId="77777777" w:rsidTr="003A20C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59280F8C" w14:textId="77777777" w:rsidR="000F3E22" w:rsidRPr="00EA40A9" w:rsidRDefault="000F3E22" w:rsidP="00025412">
            <w:pPr>
              <w:rPr>
                <w:b/>
                <w:color w:val="000000"/>
              </w:rPr>
            </w:pPr>
            <w:r w:rsidRPr="00EA40A9">
              <w:rPr>
                <w:b/>
                <w:color w:val="000000"/>
                <w:szCs w:val="22"/>
              </w:rPr>
              <w:t>Bidder Price</w:t>
            </w:r>
          </w:p>
        </w:tc>
        <w:tc>
          <w:tcPr>
            <w:tcW w:w="2938" w:type="dxa"/>
            <w:tcBorders>
              <w:top w:val="nil"/>
              <w:left w:val="nil"/>
              <w:bottom w:val="single" w:sz="4" w:space="0" w:color="auto"/>
              <w:right w:val="single" w:sz="4" w:space="0" w:color="auto"/>
            </w:tcBorders>
            <w:shd w:val="clear" w:color="auto" w:fill="auto"/>
            <w:noWrap/>
            <w:vAlign w:val="bottom"/>
            <w:hideMark/>
          </w:tcPr>
          <w:p w14:paraId="70E95E53" w14:textId="77777777" w:rsidR="000F3E22" w:rsidRPr="00EA40A9" w:rsidRDefault="000F3E22" w:rsidP="00025412">
            <w:pPr>
              <w:jc w:val="center"/>
              <w:rPr>
                <w:b/>
                <w:color w:val="000000"/>
              </w:rPr>
            </w:pPr>
            <w:r w:rsidRPr="00EA40A9">
              <w:rPr>
                <w:b/>
                <w:color w:val="000000"/>
                <w:szCs w:val="22"/>
              </w:rPr>
              <w:t>£700</w:t>
            </w:r>
          </w:p>
        </w:tc>
      </w:tr>
      <w:tr w:rsidR="000F3E22" w:rsidRPr="00EA40A9" w14:paraId="143EEE46" w14:textId="77777777" w:rsidTr="003A20C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4B8AEA66" w14:textId="77777777" w:rsidR="000F3E22" w:rsidRPr="00EA40A9" w:rsidRDefault="000F3E22" w:rsidP="00025412">
            <w:pPr>
              <w:rPr>
                <w:b/>
                <w:color w:val="000000"/>
              </w:rPr>
            </w:pPr>
            <w:r w:rsidRPr="00EA40A9">
              <w:rPr>
                <w:b/>
                <w:color w:val="000000"/>
                <w:szCs w:val="22"/>
              </w:rPr>
              <w:t>Difference</w:t>
            </w:r>
          </w:p>
        </w:tc>
        <w:tc>
          <w:tcPr>
            <w:tcW w:w="2938" w:type="dxa"/>
            <w:tcBorders>
              <w:top w:val="nil"/>
              <w:left w:val="nil"/>
              <w:bottom w:val="single" w:sz="4" w:space="0" w:color="auto"/>
              <w:right w:val="single" w:sz="4" w:space="0" w:color="auto"/>
            </w:tcBorders>
            <w:shd w:val="clear" w:color="auto" w:fill="auto"/>
            <w:noWrap/>
            <w:vAlign w:val="bottom"/>
            <w:hideMark/>
          </w:tcPr>
          <w:p w14:paraId="2B4F1755" w14:textId="77777777" w:rsidR="000F3E22" w:rsidRPr="00EA40A9" w:rsidRDefault="000F3E22" w:rsidP="00025412">
            <w:pPr>
              <w:jc w:val="center"/>
              <w:rPr>
                <w:b/>
                <w:color w:val="000000"/>
              </w:rPr>
            </w:pPr>
            <w:r w:rsidRPr="00EA40A9">
              <w:rPr>
                <w:b/>
                <w:color w:val="000000"/>
                <w:szCs w:val="22"/>
              </w:rPr>
              <w:t>£200</w:t>
            </w:r>
          </w:p>
        </w:tc>
      </w:tr>
      <w:tr w:rsidR="000F3E22" w:rsidRPr="00EA40A9" w14:paraId="2B314ADE" w14:textId="77777777" w:rsidTr="003A20C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4D47B777" w14:textId="77777777" w:rsidR="000F3E22" w:rsidRPr="00EA40A9" w:rsidRDefault="000F3E22" w:rsidP="00025412">
            <w:pPr>
              <w:rPr>
                <w:color w:val="000000"/>
              </w:rPr>
            </w:pPr>
            <w:r w:rsidRPr="00EA40A9">
              <w:rPr>
                <w:color w:val="000000"/>
                <w:szCs w:val="22"/>
              </w:rPr>
              <w:t>%age Score</w:t>
            </w:r>
          </w:p>
        </w:tc>
        <w:tc>
          <w:tcPr>
            <w:tcW w:w="2938" w:type="dxa"/>
            <w:tcBorders>
              <w:top w:val="nil"/>
              <w:left w:val="nil"/>
              <w:bottom w:val="single" w:sz="4" w:space="0" w:color="auto"/>
              <w:right w:val="single" w:sz="4" w:space="0" w:color="auto"/>
            </w:tcBorders>
            <w:shd w:val="clear" w:color="auto" w:fill="auto"/>
            <w:noWrap/>
            <w:vAlign w:val="bottom"/>
            <w:hideMark/>
          </w:tcPr>
          <w:p w14:paraId="5356275F" w14:textId="77777777" w:rsidR="000F3E22" w:rsidRPr="00EA40A9" w:rsidRDefault="000F3E22" w:rsidP="00025412">
            <w:pPr>
              <w:jc w:val="center"/>
              <w:rPr>
                <w:color w:val="000000"/>
              </w:rPr>
            </w:pPr>
            <w:r w:rsidRPr="00EA40A9">
              <w:rPr>
                <w:color w:val="000000"/>
                <w:szCs w:val="22"/>
              </w:rPr>
              <w:t>40%</w:t>
            </w:r>
          </w:p>
        </w:tc>
      </w:tr>
      <w:tr w:rsidR="000F3E22" w:rsidRPr="00EA40A9" w14:paraId="613B9C1C" w14:textId="77777777" w:rsidTr="003A20C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1D11FAF2" w14:textId="77777777" w:rsidR="000F3E22" w:rsidRPr="00EA40A9" w:rsidRDefault="000F3E22" w:rsidP="00025412">
            <w:pPr>
              <w:rPr>
                <w:color w:val="000000"/>
              </w:rPr>
            </w:pPr>
            <w:r w:rsidRPr="00EA40A9">
              <w:rPr>
                <w:color w:val="000000"/>
                <w:szCs w:val="22"/>
              </w:rPr>
              <w:t>Max Score</w:t>
            </w:r>
          </w:p>
        </w:tc>
        <w:tc>
          <w:tcPr>
            <w:tcW w:w="2938" w:type="dxa"/>
            <w:tcBorders>
              <w:top w:val="nil"/>
              <w:left w:val="nil"/>
              <w:bottom w:val="single" w:sz="4" w:space="0" w:color="auto"/>
              <w:right w:val="single" w:sz="4" w:space="0" w:color="auto"/>
            </w:tcBorders>
            <w:shd w:val="clear" w:color="auto" w:fill="auto"/>
            <w:noWrap/>
            <w:vAlign w:val="bottom"/>
            <w:hideMark/>
          </w:tcPr>
          <w:p w14:paraId="55D4D6A7" w14:textId="77777777" w:rsidR="000F3E22" w:rsidRPr="00EA40A9" w:rsidRDefault="000F3E22" w:rsidP="00025412">
            <w:pPr>
              <w:jc w:val="center"/>
              <w:rPr>
                <w:color w:val="000000"/>
              </w:rPr>
            </w:pPr>
            <w:r w:rsidRPr="00EA40A9">
              <w:rPr>
                <w:color w:val="000000"/>
                <w:szCs w:val="22"/>
              </w:rPr>
              <w:t>40</w:t>
            </w:r>
          </w:p>
        </w:tc>
      </w:tr>
      <w:tr w:rsidR="000F3E22" w:rsidRPr="00EA40A9" w14:paraId="23C8DDA7" w14:textId="77777777" w:rsidTr="003A20C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46E0B709" w14:textId="77777777" w:rsidR="000F3E22" w:rsidRPr="00EA40A9" w:rsidRDefault="000F3E22" w:rsidP="00025412">
            <w:pPr>
              <w:rPr>
                <w:b/>
                <w:color w:val="000000"/>
              </w:rPr>
            </w:pPr>
            <w:r w:rsidRPr="00EA40A9">
              <w:rPr>
                <w:b/>
                <w:color w:val="000000"/>
                <w:szCs w:val="22"/>
              </w:rPr>
              <w:t>Bidder Score</w:t>
            </w:r>
          </w:p>
        </w:tc>
        <w:tc>
          <w:tcPr>
            <w:tcW w:w="2938" w:type="dxa"/>
            <w:tcBorders>
              <w:top w:val="nil"/>
              <w:left w:val="nil"/>
              <w:bottom w:val="single" w:sz="4" w:space="0" w:color="auto"/>
              <w:right w:val="single" w:sz="4" w:space="0" w:color="auto"/>
            </w:tcBorders>
            <w:shd w:val="clear" w:color="auto" w:fill="auto"/>
            <w:noWrap/>
            <w:vAlign w:val="bottom"/>
            <w:hideMark/>
          </w:tcPr>
          <w:p w14:paraId="35DABE72" w14:textId="77777777" w:rsidR="000F3E22" w:rsidRPr="00EA40A9" w:rsidRDefault="000F3E22" w:rsidP="00025412">
            <w:pPr>
              <w:jc w:val="center"/>
              <w:rPr>
                <w:b/>
                <w:color w:val="000000"/>
              </w:rPr>
            </w:pPr>
            <w:r w:rsidRPr="00EA40A9">
              <w:rPr>
                <w:b/>
                <w:color w:val="000000"/>
                <w:szCs w:val="22"/>
              </w:rPr>
              <w:t>24</w:t>
            </w:r>
          </w:p>
        </w:tc>
      </w:tr>
    </w:tbl>
    <w:p w14:paraId="6BEC1905" w14:textId="77777777" w:rsidR="000F3E22" w:rsidRDefault="000F3E22" w:rsidP="000F3E22">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r w:rsidR="00E7413D">
        <w:rPr>
          <w:kern w:val="28"/>
        </w:rPr>
        <w:t xml:space="preserve"> will be made</w:t>
      </w:r>
      <w:r w:rsidRPr="00542030">
        <w:rPr>
          <w:kern w:val="28"/>
        </w:rPr>
        <w:t>.</w:t>
      </w:r>
    </w:p>
    <w:p w14:paraId="5B88CE59" w14:textId="77777777" w:rsidR="006F6E38" w:rsidRDefault="006F6E38" w:rsidP="000F3E22">
      <w:pPr>
        <w:pStyle w:val="ListParagraph"/>
        <w:spacing w:after="0" w:line="240" w:lineRule="auto"/>
        <w:jc w:val="center"/>
        <w:rPr>
          <w:kern w:val="28"/>
        </w:rPr>
      </w:pPr>
    </w:p>
    <w:p w14:paraId="2A611E26" w14:textId="77777777" w:rsidR="006F6E38" w:rsidRPr="00542030" w:rsidRDefault="006F6E38" w:rsidP="000F3E22">
      <w:pPr>
        <w:pStyle w:val="ListParagraph"/>
        <w:spacing w:after="0" w:line="240" w:lineRule="auto"/>
        <w:jc w:val="center"/>
        <w:rPr>
          <w:kern w:val="28"/>
        </w:rPr>
      </w:pPr>
    </w:p>
    <w:p w14:paraId="6ACE6E45" w14:textId="77777777" w:rsidR="00174042" w:rsidRPr="00001A29" w:rsidRDefault="00AC37C6" w:rsidP="000F3E22">
      <w:pPr>
        <w:pStyle w:val="ListParagraph"/>
        <w:spacing w:after="0" w:line="240" w:lineRule="auto"/>
        <w:jc w:val="center"/>
        <w:rPr>
          <w:rFonts w:cs="Arial"/>
          <w:b/>
          <w:sz w:val="24"/>
        </w:rPr>
      </w:pPr>
      <w:r w:rsidRPr="00001A29">
        <w:rPr>
          <w:rFonts w:cs="Arial"/>
          <w:b/>
          <w:sz w:val="24"/>
        </w:rPr>
        <w:t>END OF DOCUMENT</w:t>
      </w:r>
    </w:p>
    <w:sectPr w:rsidR="00174042" w:rsidRPr="00001A29" w:rsidSect="00A06BE6">
      <w:footerReference w:type="default" r:id="rId11"/>
      <w:headerReference w:type="first" r:id="rId12"/>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F3C9F" w14:textId="77777777" w:rsidR="00092F72" w:rsidRDefault="00092F72" w:rsidP="00A05ED1">
      <w:pPr>
        <w:spacing w:after="0" w:line="240" w:lineRule="auto"/>
      </w:pPr>
      <w:r>
        <w:separator/>
      </w:r>
    </w:p>
  </w:endnote>
  <w:endnote w:type="continuationSeparator" w:id="0">
    <w:p w14:paraId="3A916FFF" w14:textId="77777777" w:rsidR="00092F72" w:rsidRDefault="00092F72"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85C6" w14:textId="77777777" w:rsidR="00B75084" w:rsidRDefault="00B7508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311E">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311E">
      <w:rPr>
        <w:b/>
        <w:noProof/>
      </w:rPr>
      <w:t>10</w:t>
    </w:r>
    <w:r>
      <w:rPr>
        <w:b/>
        <w:sz w:val="24"/>
        <w:szCs w:val="24"/>
      </w:rPr>
      <w:fldChar w:fldCharType="end"/>
    </w:r>
  </w:p>
  <w:p w14:paraId="427DC72F" w14:textId="77777777" w:rsidR="00B75084" w:rsidRDefault="00B7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2601" w14:textId="77777777" w:rsidR="00092F72" w:rsidRDefault="00092F72" w:rsidP="00A05ED1">
      <w:pPr>
        <w:spacing w:after="0" w:line="240" w:lineRule="auto"/>
      </w:pPr>
      <w:r>
        <w:separator/>
      </w:r>
    </w:p>
  </w:footnote>
  <w:footnote w:type="continuationSeparator" w:id="0">
    <w:p w14:paraId="3B7FA35C" w14:textId="77777777" w:rsidR="00092F72" w:rsidRDefault="00092F72"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954A" w14:textId="77777777" w:rsidR="00B75084" w:rsidRDefault="000F3E22">
    <w:pPr>
      <w:pStyle w:val="Header"/>
    </w:pPr>
    <w:r>
      <w:rPr>
        <w:noProof/>
      </w:rPr>
      <w:drawing>
        <wp:inline distT="0" distB="0" distL="0" distR="0" wp14:anchorId="6FAD629A" wp14:editId="69ACAB73">
          <wp:extent cx="3773946" cy="847725"/>
          <wp:effectExtent l="0" t="0" r="0" b="0"/>
          <wp:docPr id="5" name="Picture 5" descr="\\BLUEODATA1\Liverpool\BLUEORCHID\C&amp;W Growth Hub\Branding and Logos\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ODATA1\Liverpool\BLUEORCHID\C&amp;W Growth Hub\Branding and Logos\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57" cy="848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48E76D8"/>
    <w:multiLevelType w:val="hybridMultilevel"/>
    <w:tmpl w:val="18BC4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51B2F"/>
    <w:multiLevelType w:val="hybridMultilevel"/>
    <w:tmpl w:val="0630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73E9F"/>
    <w:multiLevelType w:val="hybridMultilevel"/>
    <w:tmpl w:val="3222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E23A4"/>
    <w:multiLevelType w:val="hybridMultilevel"/>
    <w:tmpl w:val="EEB8C3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637EC6"/>
    <w:multiLevelType w:val="hybridMultilevel"/>
    <w:tmpl w:val="68C83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7AB4350"/>
    <w:multiLevelType w:val="hybridMultilevel"/>
    <w:tmpl w:val="1BFAC8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434442"/>
    <w:multiLevelType w:val="hybridMultilevel"/>
    <w:tmpl w:val="CFBE32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019FF"/>
    <w:multiLevelType w:val="hybridMultilevel"/>
    <w:tmpl w:val="E86AEB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557806"/>
    <w:multiLevelType w:val="hybridMultilevel"/>
    <w:tmpl w:val="9E22E6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8D37FE2"/>
    <w:multiLevelType w:val="hybridMultilevel"/>
    <w:tmpl w:val="8B2C9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F119C"/>
    <w:multiLevelType w:val="hybridMultilevel"/>
    <w:tmpl w:val="1D54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D1B62"/>
    <w:multiLevelType w:val="hybridMultilevel"/>
    <w:tmpl w:val="DC400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24CFA"/>
    <w:multiLevelType w:val="hybridMultilevel"/>
    <w:tmpl w:val="A0D215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AC30284"/>
    <w:multiLevelType w:val="hybridMultilevel"/>
    <w:tmpl w:val="7082C0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C35790"/>
    <w:multiLevelType w:val="hybridMultilevel"/>
    <w:tmpl w:val="0C4E5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26683"/>
    <w:multiLevelType w:val="hybridMultilevel"/>
    <w:tmpl w:val="E74273EA"/>
    <w:lvl w:ilvl="0" w:tplc="08090001">
      <w:start w:val="1"/>
      <w:numFmt w:val="bullet"/>
      <w:lvlText w:val=""/>
      <w:lvlJc w:val="left"/>
      <w:pPr>
        <w:ind w:left="1080" w:hanging="360"/>
      </w:pPr>
      <w:rPr>
        <w:rFonts w:ascii="Symbol" w:hAnsi="Symbol" w:hint="default"/>
      </w:rPr>
    </w:lvl>
    <w:lvl w:ilvl="1" w:tplc="65165466">
      <w:numFmt w:val="bullet"/>
      <w:lvlText w:val="•"/>
      <w:lvlJc w:val="left"/>
      <w:pPr>
        <w:ind w:left="1800" w:hanging="360"/>
      </w:pPr>
      <w:rPr>
        <w:rFonts w:ascii="Calibri" w:eastAsiaTheme="minorHAns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8"/>
  </w:num>
  <w:num w:numId="4">
    <w:abstractNumId w:val="16"/>
  </w:num>
  <w:num w:numId="5">
    <w:abstractNumId w:val="0"/>
  </w:num>
  <w:num w:numId="6">
    <w:abstractNumId w:val="33"/>
  </w:num>
  <w:num w:numId="7">
    <w:abstractNumId w:val="3"/>
  </w:num>
  <w:num w:numId="8">
    <w:abstractNumId w:val="37"/>
  </w:num>
  <w:num w:numId="9">
    <w:abstractNumId w:val="17"/>
  </w:num>
  <w:num w:numId="10">
    <w:abstractNumId w:val="15"/>
  </w:num>
  <w:num w:numId="11">
    <w:abstractNumId w:val="19"/>
  </w:num>
  <w:num w:numId="12">
    <w:abstractNumId w:val="3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8"/>
  </w:num>
  <w:num w:numId="16">
    <w:abstractNumId w:val="28"/>
  </w:num>
  <w:num w:numId="17">
    <w:abstractNumId w:val="14"/>
  </w:num>
  <w:num w:numId="18">
    <w:abstractNumId w:val="9"/>
  </w:num>
  <w:num w:numId="19">
    <w:abstractNumId w:val="12"/>
  </w:num>
  <w:num w:numId="20">
    <w:abstractNumId w:val="32"/>
  </w:num>
  <w:num w:numId="21">
    <w:abstractNumId w:val="13"/>
  </w:num>
  <w:num w:numId="22">
    <w:abstractNumId w:val="8"/>
  </w:num>
  <w:num w:numId="23">
    <w:abstractNumId w:val="21"/>
  </w:num>
  <w:num w:numId="24">
    <w:abstractNumId w:val="35"/>
  </w:num>
  <w:num w:numId="25">
    <w:abstractNumId w:val="26"/>
  </w:num>
  <w:num w:numId="26">
    <w:abstractNumId w:val="2"/>
  </w:num>
  <w:num w:numId="27">
    <w:abstractNumId w:val="25"/>
  </w:num>
  <w:num w:numId="28">
    <w:abstractNumId w:val="7"/>
  </w:num>
  <w:num w:numId="29">
    <w:abstractNumId w:val="11"/>
  </w:num>
  <w:num w:numId="30">
    <w:abstractNumId w:val="36"/>
  </w:num>
  <w:num w:numId="31">
    <w:abstractNumId w:val="4"/>
  </w:num>
  <w:num w:numId="32">
    <w:abstractNumId w:val="5"/>
  </w:num>
  <w:num w:numId="33">
    <w:abstractNumId w:val="20"/>
  </w:num>
  <w:num w:numId="34">
    <w:abstractNumId w:val="23"/>
  </w:num>
  <w:num w:numId="35">
    <w:abstractNumId w:val="27"/>
  </w:num>
  <w:num w:numId="36">
    <w:abstractNumId w:val="30"/>
  </w:num>
  <w:num w:numId="37">
    <w:abstractNumId w:val="24"/>
  </w:num>
  <w:num w:numId="38">
    <w:abstractNumId w:val="1"/>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1A29"/>
    <w:rsid w:val="00007EE7"/>
    <w:rsid w:val="00010A3A"/>
    <w:rsid w:val="000150AC"/>
    <w:rsid w:val="000150CE"/>
    <w:rsid w:val="0001722A"/>
    <w:rsid w:val="00020FBF"/>
    <w:rsid w:val="000239EF"/>
    <w:rsid w:val="00024939"/>
    <w:rsid w:val="0002543F"/>
    <w:rsid w:val="00025AFE"/>
    <w:rsid w:val="00027880"/>
    <w:rsid w:val="0003089F"/>
    <w:rsid w:val="00032676"/>
    <w:rsid w:val="000338F5"/>
    <w:rsid w:val="00034CC1"/>
    <w:rsid w:val="0003795D"/>
    <w:rsid w:val="0003798B"/>
    <w:rsid w:val="00043C96"/>
    <w:rsid w:val="00046D1C"/>
    <w:rsid w:val="00047450"/>
    <w:rsid w:val="00051663"/>
    <w:rsid w:val="00051A89"/>
    <w:rsid w:val="00051CB9"/>
    <w:rsid w:val="00054000"/>
    <w:rsid w:val="000540C2"/>
    <w:rsid w:val="0005560F"/>
    <w:rsid w:val="000615E6"/>
    <w:rsid w:val="00062928"/>
    <w:rsid w:val="0006453C"/>
    <w:rsid w:val="00075357"/>
    <w:rsid w:val="000771E2"/>
    <w:rsid w:val="0007774D"/>
    <w:rsid w:val="000812D4"/>
    <w:rsid w:val="000815A8"/>
    <w:rsid w:val="000853EA"/>
    <w:rsid w:val="000915D1"/>
    <w:rsid w:val="00091A65"/>
    <w:rsid w:val="0009283B"/>
    <w:rsid w:val="00092F72"/>
    <w:rsid w:val="0009559C"/>
    <w:rsid w:val="000A2F9D"/>
    <w:rsid w:val="000A3544"/>
    <w:rsid w:val="000A3966"/>
    <w:rsid w:val="000A39CA"/>
    <w:rsid w:val="000A40DA"/>
    <w:rsid w:val="000A717C"/>
    <w:rsid w:val="000A797D"/>
    <w:rsid w:val="000B1EEB"/>
    <w:rsid w:val="000B3BAB"/>
    <w:rsid w:val="000B7C60"/>
    <w:rsid w:val="000C0550"/>
    <w:rsid w:val="000C0600"/>
    <w:rsid w:val="000C4647"/>
    <w:rsid w:val="000C4C91"/>
    <w:rsid w:val="000D08A3"/>
    <w:rsid w:val="000D2CB8"/>
    <w:rsid w:val="000D43CE"/>
    <w:rsid w:val="000D7056"/>
    <w:rsid w:val="000E0A9A"/>
    <w:rsid w:val="000E123D"/>
    <w:rsid w:val="000E23D4"/>
    <w:rsid w:val="000E258E"/>
    <w:rsid w:val="000E3950"/>
    <w:rsid w:val="000E4868"/>
    <w:rsid w:val="000E5C32"/>
    <w:rsid w:val="000E5FF1"/>
    <w:rsid w:val="000E6F49"/>
    <w:rsid w:val="000E777F"/>
    <w:rsid w:val="000F1A03"/>
    <w:rsid w:val="000F214D"/>
    <w:rsid w:val="000F2A0D"/>
    <w:rsid w:val="000F35FD"/>
    <w:rsid w:val="000F3E22"/>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7FF"/>
    <w:rsid w:val="00120D4D"/>
    <w:rsid w:val="0012470E"/>
    <w:rsid w:val="00125F16"/>
    <w:rsid w:val="0012716B"/>
    <w:rsid w:val="0012724B"/>
    <w:rsid w:val="001329EC"/>
    <w:rsid w:val="001403DA"/>
    <w:rsid w:val="00141265"/>
    <w:rsid w:val="00142976"/>
    <w:rsid w:val="00144D4F"/>
    <w:rsid w:val="00145853"/>
    <w:rsid w:val="001474B2"/>
    <w:rsid w:val="001502A9"/>
    <w:rsid w:val="0015140A"/>
    <w:rsid w:val="0015201D"/>
    <w:rsid w:val="00152D63"/>
    <w:rsid w:val="00152EED"/>
    <w:rsid w:val="00155329"/>
    <w:rsid w:val="00156B10"/>
    <w:rsid w:val="00156CDE"/>
    <w:rsid w:val="00160D9F"/>
    <w:rsid w:val="00160DB6"/>
    <w:rsid w:val="00162D69"/>
    <w:rsid w:val="001643DC"/>
    <w:rsid w:val="00166D3A"/>
    <w:rsid w:val="00167279"/>
    <w:rsid w:val="0017010E"/>
    <w:rsid w:val="001705C4"/>
    <w:rsid w:val="00171BB9"/>
    <w:rsid w:val="001722E5"/>
    <w:rsid w:val="00174042"/>
    <w:rsid w:val="00176105"/>
    <w:rsid w:val="00177658"/>
    <w:rsid w:val="00180354"/>
    <w:rsid w:val="00180BB0"/>
    <w:rsid w:val="00183650"/>
    <w:rsid w:val="00183743"/>
    <w:rsid w:val="00183C0C"/>
    <w:rsid w:val="001848A2"/>
    <w:rsid w:val="00187A90"/>
    <w:rsid w:val="00187F48"/>
    <w:rsid w:val="001911D4"/>
    <w:rsid w:val="00194C8B"/>
    <w:rsid w:val="001A190B"/>
    <w:rsid w:val="001A218C"/>
    <w:rsid w:val="001A2737"/>
    <w:rsid w:val="001A4CD3"/>
    <w:rsid w:val="001A75B6"/>
    <w:rsid w:val="001B20D0"/>
    <w:rsid w:val="001B2158"/>
    <w:rsid w:val="001B2175"/>
    <w:rsid w:val="001B27EF"/>
    <w:rsid w:val="001B4BE2"/>
    <w:rsid w:val="001B5062"/>
    <w:rsid w:val="001B532B"/>
    <w:rsid w:val="001B6132"/>
    <w:rsid w:val="001C0BAD"/>
    <w:rsid w:val="001C1114"/>
    <w:rsid w:val="001C7068"/>
    <w:rsid w:val="001C7C68"/>
    <w:rsid w:val="001C7FAC"/>
    <w:rsid w:val="001D1D87"/>
    <w:rsid w:val="001D67BE"/>
    <w:rsid w:val="001D69C3"/>
    <w:rsid w:val="001E107E"/>
    <w:rsid w:val="001E109D"/>
    <w:rsid w:val="001E1A09"/>
    <w:rsid w:val="001E1B86"/>
    <w:rsid w:val="001E3E9B"/>
    <w:rsid w:val="001F1FE9"/>
    <w:rsid w:val="001F2212"/>
    <w:rsid w:val="001F6265"/>
    <w:rsid w:val="001F7CF0"/>
    <w:rsid w:val="0020101C"/>
    <w:rsid w:val="00201182"/>
    <w:rsid w:val="00201EC5"/>
    <w:rsid w:val="00206F3F"/>
    <w:rsid w:val="002105E8"/>
    <w:rsid w:val="00211775"/>
    <w:rsid w:val="00211809"/>
    <w:rsid w:val="002129B6"/>
    <w:rsid w:val="00212F80"/>
    <w:rsid w:val="00215EF9"/>
    <w:rsid w:val="00221472"/>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383"/>
    <w:rsid w:val="00246DCF"/>
    <w:rsid w:val="00250650"/>
    <w:rsid w:val="00252F94"/>
    <w:rsid w:val="00257C5C"/>
    <w:rsid w:val="00260F10"/>
    <w:rsid w:val="0026126C"/>
    <w:rsid w:val="002614A1"/>
    <w:rsid w:val="00262417"/>
    <w:rsid w:val="00265D56"/>
    <w:rsid w:val="00266C38"/>
    <w:rsid w:val="00272D1F"/>
    <w:rsid w:val="00273804"/>
    <w:rsid w:val="00274244"/>
    <w:rsid w:val="002773DE"/>
    <w:rsid w:val="002773E8"/>
    <w:rsid w:val="00281F7C"/>
    <w:rsid w:val="00282EE3"/>
    <w:rsid w:val="002847BD"/>
    <w:rsid w:val="00285925"/>
    <w:rsid w:val="00285C1B"/>
    <w:rsid w:val="00286E62"/>
    <w:rsid w:val="00287C36"/>
    <w:rsid w:val="002934DD"/>
    <w:rsid w:val="002962EC"/>
    <w:rsid w:val="002976BF"/>
    <w:rsid w:val="00297FEE"/>
    <w:rsid w:val="002A31F1"/>
    <w:rsid w:val="002A3831"/>
    <w:rsid w:val="002A5120"/>
    <w:rsid w:val="002A708B"/>
    <w:rsid w:val="002B013C"/>
    <w:rsid w:val="002B0193"/>
    <w:rsid w:val="002B01D2"/>
    <w:rsid w:val="002B1537"/>
    <w:rsid w:val="002B3A49"/>
    <w:rsid w:val="002B4346"/>
    <w:rsid w:val="002B5A1B"/>
    <w:rsid w:val="002B6462"/>
    <w:rsid w:val="002C500D"/>
    <w:rsid w:val="002D03C8"/>
    <w:rsid w:val="002D24A1"/>
    <w:rsid w:val="002D30A9"/>
    <w:rsid w:val="002D44AF"/>
    <w:rsid w:val="002D4C56"/>
    <w:rsid w:val="002D6432"/>
    <w:rsid w:val="002D6503"/>
    <w:rsid w:val="002E0C99"/>
    <w:rsid w:val="002E149B"/>
    <w:rsid w:val="002E1B7A"/>
    <w:rsid w:val="002E2C15"/>
    <w:rsid w:val="002E3211"/>
    <w:rsid w:val="002E384F"/>
    <w:rsid w:val="002E3B84"/>
    <w:rsid w:val="002E7270"/>
    <w:rsid w:val="002E7467"/>
    <w:rsid w:val="002F09FB"/>
    <w:rsid w:val="002F2586"/>
    <w:rsid w:val="002F3E20"/>
    <w:rsid w:val="002F3F4F"/>
    <w:rsid w:val="002F5E44"/>
    <w:rsid w:val="002F64C1"/>
    <w:rsid w:val="002F7FA4"/>
    <w:rsid w:val="00301708"/>
    <w:rsid w:val="00302C75"/>
    <w:rsid w:val="003062A5"/>
    <w:rsid w:val="003109D0"/>
    <w:rsid w:val="003136DF"/>
    <w:rsid w:val="00314956"/>
    <w:rsid w:val="0031519F"/>
    <w:rsid w:val="00315A2D"/>
    <w:rsid w:val="00315F0F"/>
    <w:rsid w:val="0031624A"/>
    <w:rsid w:val="00316848"/>
    <w:rsid w:val="00317266"/>
    <w:rsid w:val="003202D0"/>
    <w:rsid w:val="00320A31"/>
    <w:rsid w:val="003221F2"/>
    <w:rsid w:val="0032403B"/>
    <w:rsid w:val="00324EEC"/>
    <w:rsid w:val="00325C39"/>
    <w:rsid w:val="0032606B"/>
    <w:rsid w:val="00326BF5"/>
    <w:rsid w:val="00334E5E"/>
    <w:rsid w:val="003353DC"/>
    <w:rsid w:val="003357D1"/>
    <w:rsid w:val="003517C9"/>
    <w:rsid w:val="003528C7"/>
    <w:rsid w:val="00354DB7"/>
    <w:rsid w:val="00354EB2"/>
    <w:rsid w:val="003569D4"/>
    <w:rsid w:val="00356C6B"/>
    <w:rsid w:val="00372B22"/>
    <w:rsid w:val="0037581D"/>
    <w:rsid w:val="00375B48"/>
    <w:rsid w:val="00377325"/>
    <w:rsid w:val="00381128"/>
    <w:rsid w:val="00381E8C"/>
    <w:rsid w:val="0038586F"/>
    <w:rsid w:val="00385CED"/>
    <w:rsid w:val="00386EE5"/>
    <w:rsid w:val="003873B1"/>
    <w:rsid w:val="00387C6B"/>
    <w:rsid w:val="003911A5"/>
    <w:rsid w:val="0039207B"/>
    <w:rsid w:val="003929A3"/>
    <w:rsid w:val="00393D7E"/>
    <w:rsid w:val="00396DBA"/>
    <w:rsid w:val="00397082"/>
    <w:rsid w:val="003972C9"/>
    <w:rsid w:val="00397C1F"/>
    <w:rsid w:val="003A1450"/>
    <w:rsid w:val="003A1B84"/>
    <w:rsid w:val="003A20C6"/>
    <w:rsid w:val="003A2E41"/>
    <w:rsid w:val="003A395A"/>
    <w:rsid w:val="003A5050"/>
    <w:rsid w:val="003A672E"/>
    <w:rsid w:val="003B0977"/>
    <w:rsid w:val="003B09B0"/>
    <w:rsid w:val="003B10D3"/>
    <w:rsid w:val="003B19D1"/>
    <w:rsid w:val="003B34F5"/>
    <w:rsid w:val="003B3961"/>
    <w:rsid w:val="003B4651"/>
    <w:rsid w:val="003C22B1"/>
    <w:rsid w:val="003C2B78"/>
    <w:rsid w:val="003D01B2"/>
    <w:rsid w:val="003D674E"/>
    <w:rsid w:val="003E0C24"/>
    <w:rsid w:val="003E4CDB"/>
    <w:rsid w:val="003E4FF8"/>
    <w:rsid w:val="003E597E"/>
    <w:rsid w:val="003E59D3"/>
    <w:rsid w:val="003E7135"/>
    <w:rsid w:val="003E7AAD"/>
    <w:rsid w:val="003F0E0E"/>
    <w:rsid w:val="003F2544"/>
    <w:rsid w:val="003F4D13"/>
    <w:rsid w:val="003F555C"/>
    <w:rsid w:val="003F6868"/>
    <w:rsid w:val="003F6905"/>
    <w:rsid w:val="003F794C"/>
    <w:rsid w:val="00401F0B"/>
    <w:rsid w:val="00402EE3"/>
    <w:rsid w:val="00403360"/>
    <w:rsid w:val="004034CF"/>
    <w:rsid w:val="004056FC"/>
    <w:rsid w:val="00405ED7"/>
    <w:rsid w:val="00406E5F"/>
    <w:rsid w:val="004108A5"/>
    <w:rsid w:val="0041220A"/>
    <w:rsid w:val="00412DB1"/>
    <w:rsid w:val="00415772"/>
    <w:rsid w:val="00423449"/>
    <w:rsid w:val="00424A1E"/>
    <w:rsid w:val="00425782"/>
    <w:rsid w:val="0042609F"/>
    <w:rsid w:val="0042743D"/>
    <w:rsid w:val="00430CE7"/>
    <w:rsid w:val="00431A69"/>
    <w:rsid w:val="00434C19"/>
    <w:rsid w:val="00435537"/>
    <w:rsid w:val="00435797"/>
    <w:rsid w:val="00436C10"/>
    <w:rsid w:val="004374E4"/>
    <w:rsid w:val="004416E1"/>
    <w:rsid w:val="004436CC"/>
    <w:rsid w:val="004448FB"/>
    <w:rsid w:val="004455C0"/>
    <w:rsid w:val="004475CB"/>
    <w:rsid w:val="00452A35"/>
    <w:rsid w:val="00454CEA"/>
    <w:rsid w:val="00461D1C"/>
    <w:rsid w:val="00464B91"/>
    <w:rsid w:val="0046509C"/>
    <w:rsid w:val="00467D21"/>
    <w:rsid w:val="00470EAB"/>
    <w:rsid w:val="00473065"/>
    <w:rsid w:val="00474FC0"/>
    <w:rsid w:val="0047650D"/>
    <w:rsid w:val="004767AF"/>
    <w:rsid w:val="0047685A"/>
    <w:rsid w:val="00481EEA"/>
    <w:rsid w:val="00482703"/>
    <w:rsid w:val="00482A77"/>
    <w:rsid w:val="00482D36"/>
    <w:rsid w:val="00485A3B"/>
    <w:rsid w:val="004872CB"/>
    <w:rsid w:val="00490220"/>
    <w:rsid w:val="004927FE"/>
    <w:rsid w:val="0049654F"/>
    <w:rsid w:val="00496C8A"/>
    <w:rsid w:val="00497C41"/>
    <w:rsid w:val="004A0B3D"/>
    <w:rsid w:val="004A34F6"/>
    <w:rsid w:val="004A65DD"/>
    <w:rsid w:val="004B7920"/>
    <w:rsid w:val="004C3394"/>
    <w:rsid w:val="004C3F1A"/>
    <w:rsid w:val="004C4E09"/>
    <w:rsid w:val="004C7249"/>
    <w:rsid w:val="004D1246"/>
    <w:rsid w:val="004D1AE9"/>
    <w:rsid w:val="004D1C9E"/>
    <w:rsid w:val="004D563E"/>
    <w:rsid w:val="004D6085"/>
    <w:rsid w:val="004D64D3"/>
    <w:rsid w:val="004D6E11"/>
    <w:rsid w:val="004E0926"/>
    <w:rsid w:val="004E1869"/>
    <w:rsid w:val="004E1B0A"/>
    <w:rsid w:val="004E21A7"/>
    <w:rsid w:val="004E25E0"/>
    <w:rsid w:val="004E3CB4"/>
    <w:rsid w:val="004E3DBB"/>
    <w:rsid w:val="004E486D"/>
    <w:rsid w:val="004E6369"/>
    <w:rsid w:val="004E7F45"/>
    <w:rsid w:val="004F10C9"/>
    <w:rsid w:val="004F1354"/>
    <w:rsid w:val="004F2D31"/>
    <w:rsid w:val="004F3C2A"/>
    <w:rsid w:val="004F463D"/>
    <w:rsid w:val="004F4C6E"/>
    <w:rsid w:val="0050035E"/>
    <w:rsid w:val="0050213A"/>
    <w:rsid w:val="00510D89"/>
    <w:rsid w:val="005124D6"/>
    <w:rsid w:val="00513CB1"/>
    <w:rsid w:val="005140B6"/>
    <w:rsid w:val="00514101"/>
    <w:rsid w:val="00515DC1"/>
    <w:rsid w:val="00515F73"/>
    <w:rsid w:val="00516801"/>
    <w:rsid w:val="00521068"/>
    <w:rsid w:val="00522FA2"/>
    <w:rsid w:val="00523C3B"/>
    <w:rsid w:val="00523E05"/>
    <w:rsid w:val="00524003"/>
    <w:rsid w:val="005265AB"/>
    <w:rsid w:val="0053436A"/>
    <w:rsid w:val="00535008"/>
    <w:rsid w:val="00535259"/>
    <w:rsid w:val="00535459"/>
    <w:rsid w:val="005354F0"/>
    <w:rsid w:val="00541666"/>
    <w:rsid w:val="005455D4"/>
    <w:rsid w:val="005516AD"/>
    <w:rsid w:val="00554CC8"/>
    <w:rsid w:val="00555063"/>
    <w:rsid w:val="00560AEB"/>
    <w:rsid w:val="00561999"/>
    <w:rsid w:val="00562FCC"/>
    <w:rsid w:val="00565F53"/>
    <w:rsid w:val="005707DC"/>
    <w:rsid w:val="005735BB"/>
    <w:rsid w:val="005740C9"/>
    <w:rsid w:val="00574BD5"/>
    <w:rsid w:val="00574BEF"/>
    <w:rsid w:val="00575E75"/>
    <w:rsid w:val="00581E49"/>
    <w:rsid w:val="005827FD"/>
    <w:rsid w:val="00583C2C"/>
    <w:rsid w:val="005854A3"/>
    <w:rsid w:val="00590425"/>
    <w:rsid w:val="00590A84"/>
    <w:rsid w:val="0059199D"/>
    <w:rsid w:val="00591FA0"/>
    <w:rsid w:val="0059225D"/>
    <w:rsid w:val="00593DD0"/>
    <w:rsid w:val="00594815"/>
    <w:rsid w:val="0059637E"/>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D0CF1"/>
    <w:rsid w:val="005D20D3"/>
    <w:rsid w:val="005D26C0"/>
    <w:rsid w:val="005D2C6E"/>
    <w:rsid w:val="005D356B"/>
    <w:rsid w:val="005D7445"/>
    <w:rsid w:val="005E0CB5"/>
    <w:rsid w:val="005E0DF9"/>
    <w:rsid w:val="005E3E21"/>
    <w:rsid w:val="005E70F9"/>
    <w:rsid w:val="005F277A"/>
    <w:rsid w:val="005F2B38"/>
    <w:rsid w:val="005F33F9"/>
    <w:rsid w:val="005F3BF3"/>
    <w:rsid w:val="005F3EA9"/>
    <w:rsid w:val="005F657C"/>
    <w:rsid w:val="00605ACB"/>
    <w:rsid w:val="00611B94"/>
    <w:rsid w:val="00611F9F"/>
    <w:rsid w:val="0061211A"/>
    <w:rsid w:val="00613845"/>
    <w:rsid w:val="00615397"/>
    <w:rsid w:val="00621244"/>
    <w:rsid w:val="00621D51"/>
    <w:rsid w:val="00623452"/>
    <w:rsid w:val="00624140"/>
    <w:rsid w:val="00627723"/>
    <w:rsid w:val="00630351"/>
    <w:rsid w:val="00633CF1"/>
    <w:rsid w:val="006364A3"/>
    <w:rsid w:val="00636FC0"/>
    <w:rsid w:val="00637D9C"/>
    <w:rsid w:val="00642C50"/>
    <w:rsid w:val="006444D9"/>
    <w:rsid w:val="006463CC"/>
    <w:rsid w:val="00647A5E"/>
    <w:rsid w:val="00647E90"/>
    <w:rsid w:val="006512C4"/>
    <w:rsid w:val="006525AE"/>
    <w:rsid w:val="006530B8"/>
    <w:rsid w:val="00654A74"/>
    <w:rsid w:val="00656A82"/>
    <w:rsid w:val="006632AD"/>
    <w:rsid w:val="00666241"/>
    <w:rsid w:val="00670F76"/>
    <w:rsid w:val="00672621"/>
    <w:rsid w:val="00672C44"/>
    <w:rsid w:val="00672EFC"/>
    <w:rsid w:val="0067404B"/>
    <w:rsid w:val="006748A6"/>
    <w:rsid w:val="00674DDC"/>
    <w:rsid w:val="00674FD6"/>
    <w:rsid w:val="00675CDF"/>
    <w:rsid w:val="006766F3"/>
    <w:rsid w:val="006771FE"/>
    <w:rsid w:val="00682D6C"/>
    <w:rsid w:val="006840D5"/>
    <w:rsid w:val="006848B8"/>
    <w:rsid w:val="00685041"/>
    <w:rsid w:val="006852FB"/>
    <w:rsid w:val="006877D3"/>
    <w:rsid w:val="0069362A"/>
    <w:rsid w:val="00695650"/>
    <w:rsid w:val="00695E13"/>
    <w:rsid w:val="00697B37"/>
    <w:rsid w:val="006A0B71"/>
    <w:rsid w:val="006A0F71"/>
    <w:rsid w:val="006A2FE1"/>
    <w:rsid w:val="006A46EA"/>
    <w:rsid w:val="006A56EC"/>
    <w:rsid w:val="006A5729"/>
    <w:rsid w:val="006A60B7"/>
    <w:rsid w:val="006A71DA"/>
    <w:rsid w:val="006B0B32"/>
    <w:rsid w:val="006B12D4"/>
    <w:rsid w:val="006B196D"/>
    <w:rsid w:val="006B1AA1"/>
    <w:rsid w:val="006B4306"/>
    <w:rsid w:val="006B43DE"/>
    <w:rsid w:val="006B4503"/>
    <w:rsid w:val="006B4554"/>
    <w:rsid w:val="006B5B79"/>
    <w:rsid w:val="006B64A8"/>
    <w:rsid w:val="006C3E1B"/>
    <w:rsid w:val="006C7676"/>
    <w:rsid w:val="006C7FE4"/>
    <w:rsid w:val="006D469F"/>
    <w:rsid w:val="006D61CA"/>
    <w:rsid w:val="006D72D5"/>
    <w:rsid w:val="006E1492"/>
    <w:rsid w:val="006E2FCB"/>
    <w:rsid w:val="006E47BB"/>
    <w:rsid w:val="006E48A3"/>
    <w:rsid w:val="006E6497"/>
    <w:rsid w:val="006E6BC8"/>
    <w:rsid w:val="006E72F5"/>
    <w:rsid w:val="006F034A"/>
    <w:rsid w:val="006F2CD8"/>
    <w:rsid w:val="006F60CE"/>
    <w:rsid w:val="006F6968"/>
    <w:rsid w:val="006F6E38"/>
    <w:rsid w:val="006F7A6E"/>
    <w:rsid w:val="007128AF"/>
    <w:rsid w:val="00712933"/>
    <w:rsid w:val="00712977"/>
    <w:rsid w:val="007145A9"/>
    <w:rsid w:val="00715C7A"/>
    <w:rsid w:val="007163F6"/>
    <w:rsid w:val="00716521"/>
    <w:rsid w:val="007167DA"/>
    <w:rsid w:val="0072364E"/>
    <w:rsid w:val="00723E34"/>
    <w:rsid w:val="00724235"/>
    <w:rsid w:val="00724931"/>
    <w:rsid w:val="00727AE3"/>
    <w:rsid w:val="00727C4E"/>
    <w:rsid w:val="00733CA7"/>
    <w:rsid w:val="00734DD4"/>
    <w:rsid w:val="007356C2"/>
    <w:rsid w:val="00741067"/>
    <w:rsid w:val="00742ECD"/>
    <w:rsid w:val="00743FB7"/>
    <w:rsid w:val="007509B5"/>
    <w:rsid w:val="007517F5"/>
    <w:rsid w:val="00751D51"/>
    <w:rsid w:val="00752718"/>
    <w:rsid w:val="007604E8"/>
    <w:rsid w:val="00760672"/>
    <w:rsid w:val="00761DC8"/>
    <w:rsid w:val="0076240F"/>
    <w:rsid w:val="00762775"/>
    <w:rsid w:val="007627F0"/>
    <w:rsid w:val="007657C9"/>
    <w:rsid w:val="00766794"/>
    <w:rsid w:val="00767429"/>
    <w:rsid w:val="0077131E"/>
    <w:rsid w:val="00774904"/>
    <w:rsid w:val="00774C0F"/>
    <w:rsid w:val="0078027B"/>
    <w:rsid w:val="007809C8"/>
    <w:rsid w:val="00781C40"/>
    <w:rsid w:val="00785104"/>
    <w:rsid w:val="00785256"/>
    <w:rsid w:val="00785C88"/>
    <w:rsid w:val="0078618A"/>
    <w:rsid w:val="007915DF"/>
    <w:rsid w:val="00793186"/>
    <w:rsid w:val="00793325"/>
    <w:rsid w:val="00793DE0"/>
    <w:rsid w:val="0079609D"/>
    <w:rsid w:val="007A15B1"/>
    <w:rsid w:val="007A245B"/>
    <w:rsid w:val="007A2ED6"/>
    <w:rsid w:val="007A32F5"/>
    <w:rsid w:val="007A4958"/>
    <w:rsid w:val="007A5047"/>
    <w:rsid w:val="007A6B4D"/>
    <w:rsid w:val="007B1B31"/>
    <w:rsid w:val="007B2E13"/>
    <w:rsid w:val="007B4FB6"/>
    <w:rsid w:val="007B56BF"/>
    <w:rsid w:val="007B5903"/>
    <w:rsid w:val="007B7A3B"/>
    <w:rsid w:val="007C031E"/>
    <w:rsid w:val="007C06EB"/>
    <w:rsid w:val="007C25C8"/>
    <w:rsid w:val="007C4500"/>
    <w:rsid w:val="007C452C"/>
    <w:rsid w:val="007D2183"/>
    <w:rsid w:val="007D23F4"/>
    <w:rsid w:val="007D2A12"/>
    <w:rsid w:val="007D5458"/>
    <w:rsid w:val="007D5A03"/>
    <w:rsid w:val="007E09A8"/>
    <w:rsid w:val="007E3E7D"/>
    <w:rsid w:val="007E4907"/>
    <w:rsid w:val="007E61B7"/>
    <w:rsid w:val="007E6F73"/>
    <w:rsid w:val="007F05A0"/>
    <w:rsid w:val="007F4B03"/>
    <w:rsid w:val="007F516E"/>
    <w:rsid w:val="007F51E1"/>
    <w:rsid w:val="007F5C2E"/>
    <w:rsid w:val="007F7A1D"/>
    <w:rsid w:val="00800BD3"/>
    <w:rsid w:val="00800D48"/>
    <w:rsid w:val="0080195B"/>
    <w:rsid w:val="00801DDE"/>
    <w:rsid w:val="00805E99"/>
    <w:rsid w:val="00805ED4"/>
    <w:rsid w:val="0081002F"/>
    <w:rsid w:val="008144FC"/>
    <w:rsid w:val="00815273"/>
    <w:rsid w:val="00817880"/>
    <w:rsid w:val="00821FBB"/>
    <w:rsid w:val="0082477D"/>
    <w:rsid w:val="00825E3D"/>
    <w:rsid w:val="0082701B"/>
    <w:rsid w:val="00830BE8"/>
    <w:rsid w:val="00831AD8"/>
    <w:rsid w:val="00832192"/>
    <w:rsid w:val="00832A6F"/>
    <w:rsid w:val="008347D7"/>
    <w:rsid w:val="0083632A"/>
    <w:rsid w:val="00840426"/>
    <w:rsid w:val="008419EB"/>
    <w:rsid w:val="008432FC"/>
    <w:rsid w:val="008446A4"/>
    <w:rsid w:val="00846075"/>
    <w:rsid w:val="008463CD"/>
    <w:rsid w:val="00853329"/>
    <w:rsid w:val="00856A24"/>
    <w:rsid w:val="00856E50"/>
    <w:rsid w:val="008604A2"/>
    <w:rsid w:val="00861F8D"/>
    <w:rsid w:val="008630D8"/>
    <w:rsid w:val="008655B7"/>
    <w:rsid w:val="00866CCE"/>
    <w:rsid w:val="008706A5"/>
    <w:rsid w:val="00874C10"/>
    <w:rsid w:val="008751B5"/>
    <w:rsid w:val="008752F7"/>
    <w:rsid w:val="00876396"/>
    <w:rsid w:val="008763A1"/>
    <w:rsid w:val="00876AC7"/>
    <w:rsid w:val="00876B54"/>
    <w:rsid w:val="008771F4"/>
    <w:rsid w:val="0088034A"/>
    <w:rsid w:val="00881BBB"/>
    <w:rsid w:val="0088356A"/>
    <w:rsid w:val="0088401E"/>
    <w:rsid w:val="0088444F"/>
    <w:rsid w:val="00887162"/>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1ABF"/>
    <w:rsid w:val="008E39F7"/>
    <w:rsid w:val="008E5F1F"/>
    <w:rsid w:val="008E7751"/>
    <w:rsid w:val="008E7A0D"/>
    <w:rsid w:val="008F00FC"/>
    <w:rsid w:val="008F0738"/>
    <w:rsid w:val="008F0C00"/>
    <w:rsid w:val="008F57E5"/>
    <w:rsid w:val="008F660C"/>
    <w:rsid w:val="008F6F62"/>
    <w:rsid w:val="0090176B"/>
    <w:rsid w:val="00901CE9"/>
    <w:rsid w:val="00902069"/>
    <w:rsid w:val="00903F85"/>
    <w:rsid w:val="00904CF7"/>
    <w:rsid w:val="00905C23"/>
    <w:rsid w:val="00907C71"/>
    <w:rsid w:val="00911B01"/>
    <w:rsid w:val="00912755"/>
    <w:rsid w:val="00913B72"/>
    <w:rsid w:val="00916450"/>
    <w:rsid w:val="009165B6"/>
    <w:rsid w:val="00920DF6"/>
    <w:rsid w:val="00922B02"/>
    <w:rsid w:val="009244E2"/>
    <w:rsid w:val="00924E15"/>
    <w:rsid w:val="0092546C"/>
    <w:rsid w:val="00925C60"/>
    <w:rsid w:val="009273C2"/>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38C0"/>
    <w:rsid w:val="00965C5B"/>
    <w:rsid w:val="00966569"/>
    <w:rsid w:val="00967144"/>
    <w:rsid w:val="00970F10"/>
    <w:rsid w:val="00973D03"/>
    <w:rsid w:val="00981D41"/>
    <w:rsid w:val="00982567"/>
    <w:rsid w:val="00982891"/>
    <w:rsid w:val="00983DD8"/>
    <w:rsid w:val="00984904"/>
    <w:rsid w:val="00984D34"/>
    <w:rsid w:val="00985745"/>
    <w:rsid w:val="0098795A"/>
    <w:rsid w:val="00987B79"/>
    <w:rsid w:val="0099119B"/>
    <w:rsid w:val="00993383"/>
    <w:rsid w:val="00993D82"/>
    <w:rsid w:val="009A0CD6"/>
    <w:rsid w:val="009A2039"/>
    <w:rsid w:val="009A2DB1"/>
    <w:rsid w:val="009A31A5"/>
    <w:rsid w:val="009A3317"/>
    <w:rsid w:val="009A4006"/>
    <w:rsid w:val="009A449B"/>
    <w:rsid w:val="009A75B8"/>
    <w:rsid w:val="009B0E3D"/>
    <w:rsid w:val="009B1AF6"/>
    <w:rsid w:val="009B2324"/>
    <w:rsid w:val="009B30E8"/>
    <w:rsid w:val="009B36B0"/>
    <w:rsid w:val="009B5434"/>
    <w:rsid w:val="009B5C3E"/>
    <w:rsid w:val="009C015E"/>
    <w:rsid w:val="009C21CE"/>
    <w:rsid w:val="009C316E"/>
    <w:rsid w:val="009C3896"/>
    <w:rsid w:val="009C6AEC"/>
    <w:rsid w:val="009C7061"/>
    <w:rsid w:val="009D2359"/>
    <w:rsid w:val="009D3C90"/>
    <w:rsid w:val="009D3E52"/>
    <w:rsid w:val="009D6CAC"/>
    <w:rsid w:val="009E1A8E"/>
    <w:rsid w:val="009E289E"/>
    <w:rsid w:val="009E28F0"/>
    <w:rsid w:val="009E2970"/>
    <w:rsid w:val="009E311E"/>
    <w:rsid w:val="009E62F3"/>
    <w:rsid w:val="009E7F91"/>
    <w:rsid w:val="009F28A8"/>
    <w:rsid w:val="009F2EAE"/>
    <w:rsid w:val="009F30E6"/>
    <w:rsid w:val="009F378E"/>
    <w:rsid w:val="009F3EDE"/>
    <w:rsid w:val="009F5E1B"/>
    <w:rsid w:val="009F7E21"/>
    <w:rsid w:val="00A00AB3"/>
    <w:rsid w:val="00A01A66"/>
    <w:rsid w:val="00A025E9"/>
    <w:rsid w:val="00A02811"/>
    <w:rsid w:val="00A05ED1"/>
    <w:rsid w:val="00A06BE6"/>
    <w:rsid w:val="00A07379"/>
    <w:rsid w:val="00A076CB"/>
    <w:rsid w:val="00A07DBC"/>
    <w:rsid w:val="00A07DE6"/>
    <w:rsid w:val="00A11B8D"/>
    <w:rsid w:val="00A11BA9"/>
    <w:rsid w:val="00A125EC"/>
    <w:rsid w:val="00A12A0A"/>
    <w:rsid w:val="00A21A2A"/>
    <w:rsid w:val="00A22642"/>
    <w:rsid w:val="00A22A34"/>
    <w:rsid w:val="00A23096"/>
    <w:rsid w:val="00A23361"/>
    <w:rsid w:val="00A24E99"/>
    <w:rsid w:val="00A273F1"/>
    <w:rsid w:val="00A33949"/>
    <w:rsid w:val="00A37309"/>
    <w:rsid w:val="00A41C9B"/>
    <w:rsid w:val="00A422D9"/>
    <w:rsid w:val="00A43081"/>
    <w:rsid w:val="00A45DA5"/>
    <w:rsid w:val="00A50ED5"/>
    <w:rsid w:val="00A55099"/>
    <w:rsid w:val="00A56695"/>
    <w:rsid w:val="00A567EE"/>
    <w:rsid w:val="00A6048C"/>
    <w:rsid w:val="00A61C8C"/>
    <w:rsid w:val="00A62E8D"/>
    <w:rsid w:val="00A659A0"/>
    <w:rsid w:val="00A65F79"/>
    <w:rsid w:val="00A663F7"/>
    <w:rsid w:val="00A67F55"/>
    <w:rsid w:val="00A7155B"/>
    <w:rsid w:val="00A72C7C"/>
    <w:rsid w:val="00A73348"/>
    <w:rsid w:val="00A73476"/>
    <w:rsid w:val="00A735A3"/>
    <w:rsid w:val="00A76BE0"/>
    <w:rsid w:val="00A773B2"/>
    <w:rsid w:val="00A775C2"/>
    <w:rsid w:val="00A8137E"/>
    <w:rsid w:val="00A8160F"/>
    <w:rsid w:val="00A81EBE"/>
    <w:rsid w:val="00A84AD0"/>
    <w:rsid w:val="00A85D57"/>
    <w:rsid w:val="00A90435"/>
    <w:rsid w:val="00A906DF"/>
    <w:rsid w:val="00A95CB0"/>
    <w:rsid w:val="00A977FD"/>
    <w:rsid w:val="00A97872"/>
    <w:rsid w:val="00AA05A1"/>
    <w:rsid w:val="00AA3C22"/>
    <w:rsid w:val="00AA3DC6"/>
    <w:rsid w:val="00AA4E24"/>
    <w:rsid w:val="00AA6D18"/>
    <w:rsid w:val="00AB216F"/>
    <w:rsid w:val="00AB4B32"/>
    <w:rsid w:val="00AC193D"/>
    <w:rsid w:val="00AC2CEB"/>
    <w:rsid w:val="00AC37C6"/>
    <w:rsid w:val="00AC3F2F"/>
    <w:rsid w:val="00AC3FF6"/>
    <w:rsid w:val="00AD30E7"/>
    <w:rsid w:val="00AD3D9D"/>
    <w:rsid w:val="00AD5A37"/>
    <w:rsid w:val="00AD66B3"/>
    <w:rsid w:val="00AE1034"/>
    <w:rsid w:val="00AE1181"/>
    <w:rsid w:val="00AE1477"/>
    <w:rsid w:val="00AE25AF"/>
    <w:rsid w:val="00AE3FAA"/>
    <w:rsid w:val="00AE4150"/>
    <w:rsid w:val="00AE6C53"/>
    <w:rsid w:val="00AF01EC"/>
    <w:rsid w:val="00AF02EF"/>
    <w:rsid w:val="00AF070A"/>
    <w:rsid w:val="00AF14AA"/>
    <w:rsid w:val="00AF4980"/>
    <w:rsid w:val="00AF5982"/>
    <w:rsid w:val="00AF68A4"/>
    <w:rsid w:val="00B01F71"/>
    <w:rsid w:val="00B038B0"/>
    <w:rsid w:val="00B107CB"/>
    <w:rsid w:val="00B11B97"/>
    <w:rsid w:val="00B12919"/>
    <w:rsid w:val="00B12975"/>
    <w:rsid w:val="00B159CD"/>
    <w:rsid w:val="00B17F5E"/>
    <w:rsid w:val="00B206D1"/>
    <w:rsid w:val="00B20C31"/>
    <w:rsid w:val="00B2116D"/>
    <w:rsid w:val="00B21E75"/>
    <w:rsid w:val="00B22295"/>
    <w:rsid w:val="00B22FFF"/>
    <w:rsid w:val="00B24F36"/>
    <w:rsid w:val="00B31599"/>
    <w:rsid w:val="00B318FB"/>
    <w:rsid w:val="00B31E2E"/>
    <w:rsid w:val="00B31F5D"/>
    <w:rsid w:val="00B32F38"/>
    <w:rsid w:val="00B340B1"/>
    <w:rsid w:val="00B369D8"/>
    <w:rsid w:val="00B4099F"/>
    <w:rsid w:val="00B4451E"/>
    <w:rsid w:val="00B46351"/>
    <w:rsid w:val="00B47E06"/>
    <w:rsid w:val="00B50097"/>
    <w:rsid w:val="00B50FA9"/>
    <w:rsid w:val="00B51BB4"/>
    <w:rsid w:val="00B542E9"/>
    <w:rsid w:val="00B54B69"/>
    <w:rsid w:val="00B56144"/>
    <w:rsid w:val="00B61B8B"/>
    <w:rsid w:val="00B61C95"/>
    <w:rsid w:val="00B658A0"/>
    <w:rsid w:val="00B65CFC"/>
    <w:rsid w:val="00B66101"/>
    <w:rsid w:val="00B7056E"/>
    <w:rsid w:val="00B71CA6"/>
    <w:rsid w:val="00B72031"/>
    <w:rsid w:val="00B72EC6"/>
    <w:rsid w:val="00B7416A"/>
    <w:rsid w:val="00B75084"/>
    <w:rsid w:val="00B75C0E"/>
    <w:rsid w:val="00B821DE"/>
    <w:rsid w:val="00B83A6A"/>
    <w:rsid w:val="00B84269"/>
    <w:rsid w:val="00B85C80"/>
    <w:rsid w:val="00B90120"/>
    <w:rsid w:val="00B907BE"/>
    <w:rsid w:val="00B92B5F"/>
    <w:rsid w:val="00B9343A"/>
    <w:rsid w:val="00B971F6"/>
    <w:rsid w:val="00BA02AF"/>
    <w:rsid w:val="00BA1FA7"/>
    <w:rsid w:val="00BA29D2"/>
    <w:rsid w:val="00BA3523"/>
    <w:rsid w:val="00BA3EE5"/>
    <w:rsid w:val="00BB0D59"/>
    <w:rsid w:val="00BB775E"/>
    <w:rsid w:val="00BC5E92"/>
    <w:rsid w:val="00BC7597"/>
    <w:rsid w:val="00BD11D6"/>
    <w:rsid w:val="00BD49A6"/>
    <w:rsid w:val="00BD64F0"/>
    <w:rsid w:val="00BD6B68"/>
    <w:rsid w:val="00BE1271"/>
    <w:rsid w:val="00BE203E"/>
    <w:rsid w:val="00BE3D06"/>
    <w:rsid w:val="00BE4AB4"/>
    <w:rsid w:val="00BE5496"/>
    <w:rsid w:val="00BF3394"/>
    <w:rsid w:val="00BF7261"/>
    <w:rsid w:val="00C00C53"/>
    <w:rsid w:val="00C01768"/>
    <w:rsid w:val="00C01A5A"/>
    <w:rsid w:val="00C046AF"/>
    <w:rsid w:val="00C0537C"/>
    <w:rsid w:val="00C11F4D"/>
    <w:rsid w:val="00C1549C"/>
    <w:rsid w:val="00C15A51"/>
    <w:rsid w:val="00C16DC0"/>
    <w:rsid w:val="00C21DD0"/>
    <w:rsid w:val="00C23718"/>
    <w:rsid w:val="00C23E80"/>
    <w:rsid w:val="00C27134"/>
    <w:rsid w:val="00C30A3C"/>
    <w:rsid w:val="00C317D2"/>
    <w:rsid w:val="00C35E8F"/>
    <w:rsid w:val="00C36BAB"/>
    <w:rsid w:val="00C36E10"/>
    <w:rsid w:val="00C37BF9"/>
    <w:rsid w:val="00C4036C"/>
    <w:rsid w:val="00C409F0"/>
    <w:rsid w:val="00C40E0D"/>
    <w:rsid w:val="00C4125D"/>
    <w:rsid w:val="00C41B90"/>
    <w:rsid w:val="00C42065"/>
    <w:rsid w:val="00C436E4"/>
    <w:rsid w:val="00C52AD7"/>
    <w:rsid w:val="00C549AB"/>
    <w:rsid w:val="00C549CF"/>
    <w:rsid w:val="00C5655C"/>
    <w:rsid w:val="00C6367E"/>
    <w:rsid w:val="00C63DAA"/>
    <w:rsid w:val="00C650D1"/>
    <w:rsid w:val="00C65B8B"/>
    <w:rsid w:val="00C72269"/>
    <w:rsid w:val="00C7348E"/>
    <w:rsid w:val="00C74C5E"/>
    <w:rsid w:val="00C75549"/>
    <w:rsid w:val="00C75FBA"/>
    <w:rsid w:val="00C76608"/>
    <w:rsid w:val="00C808FE"/>
    <w:rsid w:val="00C809C4"/>
    <w:rsid w:val="00C8402C"/>
    <w:rsid w:val="00C86024"/>
    <w:rsid w:val="00C86EC5"/>
    <w:rsid w:val="00C8706A"/>
    <w:rsid w:val="00C94D63"/>
    <w:rsid w:val="00C952D5"/>
    <w:rsid w:val="00C9616B"/>
    <w:rsid w:val="00CA3567"/>
    <w:rsid w:val="00CA4DC9"/>
    <w:rsid w:val="00CA55B3"/>
    <w:rsid w:val="00CA6D36"/>
    <w:rsid w:val="00CB1562"/>
    <w:rsid w:val="00CB4041"/>
    <w:rsid w:val="00CB5B88"/>
    <w:rsid w:val="00CC32F7"/>
    <w:rsid w:val="00CC3721"/>
    <w:rsid w:val="00CC6077"/>
    <w:rsid w:val="00CC6A6E"/>
    <w:rsid w:val="00CC6C9D"/>
    <w:rsid w:val="00CD0502"/>
    <w:rsid w:val="00CD1390"/>
    <w:rsid w:val="00CD2DB4"/>
    <w:rsid w:val="00CD303F"/>
    <w:rsid w:val="00CD3755"/>
    <w:rsid w:val="00CE0A1A"/>
    <w:rsid w:val="00CE0B5C"/>
    <w:rsid w:val="00CE1EA1"/>
    <w:rsid w:val="00CE1F64"/>
    <w:rsid w:val="00CE35B9"/>
    <w:rsid w:val="00CE3867"/>
    <w:rsid w:val="00CE4283"/>
    <w:rsid w:val="00CE618F"/>
    <w:rsid w:val="00CE63F0"/>
    <w:rsid w:val="00CF2743"/>
    <w:rsid w:val="00CF2E3D"/>
    <w:rsid w:val="00CF4AE5"/>
    <w:rsid w:val="00CF5055"/>
    <w:rsid w:val="00CF64D0"/>
    <w:rsid w:val="00CF7EEB"/>
    <w:rsid w:val="00D0188C"/>
    <w:rsid w:val="00D027BC"/>
    <w:rsid w:val="00D03ADC"/>
    <w:rsid w:val="00D04587"/>
    <w:rsid w:val="00D0494F"/>
    <w:rsid w:val="00D07406"/>
    <w:rsid w:val="00D07F3E"/>
    <w:rsid w:val="00D11006"/>
    <w:rsid w:val="00D110BC"/>
    <w:rsid w:val="00D1142A"/>
    <w:rsid w:val="00D11CAC"/>
    <w:rsid w:val="00D157A0"/>
    <w:rsid w:val="00D15B57"/>
    <w:rsid w:val="00D16C17"/>
    <w:rsid w:val="00D2154C"/>
    <w:rsid w:val="00D26968"/>
    <w:rsid w:val="00D30759"/>
    <w:rsid w:val="00D31121"/>
    <w:rsid w:val="00D323AE"/>
    <w:rsid w:val="00D33A4B"/>
    <w:rsid w:val="00D35A03"/>
    <w:rsid w:val="00D40A37"/>
    <w:rsid w:val="00D42AAD"/>
    <w:rsid w:val="00D433AE"/>
    <w:rsid w:val="00D4356D"/>
    <w:rsid w:val="00D465F5"/>
    <w:rsid w:val="00D4692C"/>
    <w:rsid w:val="00D5173B"/>
    <w:rsid w:val="00D518DC"/>
    <w:rsid w:val="00D5456A"/>
    <w:rsid w:val="00D57B25"/>
    <w:rsid w:val="00D606F5"/>
    <w:rsid w:val="00D616ED"/>
    <w:rsid w:val="00D63764"/>
    <w:rsid w:val="00D64704"/>
    <w:rsid w:val="00D677C8"/>
    <w:rsid w:val="00D70897"/>
    <w:rsid w:val="00D70931"/>
    <w:rsid w:val="00D7113A"/>
    <w:rsid w:val="00D714F0"/>
    <w:rsid w:val="00D75095"/>
    <w:rsid w:val="00D75D8B"/>
    <w:rsid w:val="00D76283"/>
    <w:rsid w:val="00D82DE8"/>
    <w:rsid w:val="00D85E54"/>
    <w:rsid w:val="00D85F91"/>
    <w:rsid w:val="00D87452"/>
    <w:rsid w:val="00D876A6"/>
    <w:rsid w:val="00D8780D"/>
    <w:rsid w:val="00D9311A"/>
    <w:rsid w:val="00D936A3"/>
    <w:rsid w:val="00D96905"/>
    <w:rsid w:val="00DA1CE4"/>
    <w:rsid w:val="00DA2881"/>
    <w:rsid w:val="00DA2B11"/>
    <w:rsid w:val="00DA331C"/>
    <w:rsid w:val="00DA34CD"/>
    <w:rsid w:val="00DA3D4B"/>
    <w:rsid w:val="00DA46EF"/>
    <w:rsid w:val="00DA49B3"/>
    <w:rsid w:val="00DA49BD"/>
    <w:rsid w:val="00DA4D30"/>
    <w:rsid w:val="00DA544A"/>
    <w:rsid w:val="00DA6B86"/>
    <w:rsid w:val="00DA7B48"/>
    <w:rsid w:val="00DB024E"/>
    <w:rsid w:val="00DB1858"/>
    <w:rsid w:val="00DB25ED"/>
    <w:rsid w:val="00DB2B06"/>
    <w:rsid w:val="00DC4072"/>
    <w:rsid w:val="00DC49D7"/>
    <w:rsid w:val="00DC5538"/>
    <w:rsid w:val="00DC5A9D"/>
    <w:rsid w:val="00DC6480"/>
    <w:rsid w:val="00DC7EB1"/>
    <w:rsid w:val="00DD00DA"/>
    <w:rsid w:val="00DD2C40"/>
    <w:rsid w:val="00DD30CF"/>
    <w:rsid w:val="00DD66B2"/>
    <w:rsid w:val="00DD6E99"/>
    <w:rsid w:val="00DD7951"/>
    <w:rsid w:val="00DD7E85"/>
    <w:rsid w:val="00DE0234"/>
    <w:rsid w:val="00DE06C6"/>
    <w:rsid w:val="00DE1040"/>
    <w:rsid w:val="00DE115C"/>
    <w:rsid w:val="00DE18B7"/>
    <w:rsid w:val="00DE432B"/>
    <w:rsid w:val="00DE5554"/>
    <w:rsid w:val="00DE7935"/>
    <w:rsid w:val="00DF0414"/>
    <w:rsid w:val="00DF0521"/>
    <w:rsid w:val="00DF167F"/>
    <w:rsid w:val="00DF4BF9"/>
    <w:rsid w:val="00DF4EDF"/>
    <w:rsid w:val="00DF5746"/>
    <w:rsid w:val="00DF6BFE"/>
    <w:rsid w:val="00DF71AF"/>
    <w:rsid w:val="00E008AF"/>
    <w:rsid w:val="00E04693"/>
    <w:rsid w:val="00E06514"/>
    <w:rsid w:val="00E065D6"/>
    <w:rsid w:val="00E1521C"/>
    <w:rsid w:val="00E263C2"/>
    <w:rsid w:val="00E26449"/>
    <w:rsid w:val="00E26466"/>
    <w:rsid w:val="00E30F11"/>
    <w:rsid w:val="00E312D1"/>
    <w:rsid w:val="00E32A41"/>
    <w:rsid w:val="00E32EB4"/>
    <w:rsid w:val="00E347D9"/>
    <w:rsid w:val="00E360DD"/>
    <w:rsid w:val="00E3768C"/>
    <w:rsid w:val="00E4190C"/>
    <w:rsid w:val="00E44D7F"/>
    <w:rsid w:val="00E505AE"/>
    <w:rsid w:val="00E522DC"/>
    <w:rsid w:val="00E55D4A"/>
    <w:rsid w:val="00E56E51"/>
    <w:rsid w:val="00E6092F"/>
    <w:rsid w:val="00E6156C"/>
    <w:rsid w:val="00E6227E"/>
    <w:rsid w:val="00E67082"/>
    <w:rsid w:val="00E71A47"/>
    <w:rsid w:val="00E7413D"/>
    <w:rsid w:val="00E754E3"/>
    <w:rsid w:val="00E7613D"/>
    <w:rsid w:val="00E7768D"/>
    <w:rsid w:val="00E84250"/>
    <w:rsid w:val="00E847D3"/>
    <w:rsid w:val="00E8537E"/>
    <w:rsid w:val="00E8677B"/>
    <w:rsid w:val="00E91F95"/>
    <w:rsid w:val="00E954D4"/>
    <w:rsid w:val="00E961DA"/>
    <w:rsid w:val="00E97A69"/>
    <w:rsid w:val="00EA0B25"/>
    <w:rsid w:val="00EA104D"/>
    <w:rsid w:val="00EA1921"/>
    <w:rsid w:val="00EA4BA7"/>
    <w:rsid w:val="00EA5747"/>
    <w:rsid w:val="00EA5758"/>
    <w:rsid w:val="00EA64CA"/>
    <w:rsid w:val="00EA7251"/>
    <w:rsid w:val="00EB4387"/>
    <w:rsid w:val="00EB51A5"/>
    <w:rsid w:val="00EB692B"/>
    <w:rsid w:val="00EB6D4F"/>
    <w:rsid w:val="00EB7A9D"/>
    <w:rsid w:val="00EC0C26"/>
    <w:rsid w:val="00EC1235"/>
    <w:rsid w:val="00EC47BA"/>
    <w:rsid w:val="00EC4923"/>
    <w:rsid w:val="00EC4C73"/>
    <w:rsid w:val="00EC6190"/>
    <w:rsid w:val="00EC7158"/>
    <w:rsid w:val="00EC7BE2"/>
    <w:rsid w:val="00ED0805"/>
    <w:rsid w:val="00ED0A65"/>
    <w:rsid w:val="00ED0B43"/>
    <w:rsid w:val="00ED202F"/>
    <w:rsid w:val="00ED42EF"/>
    <w:rsid w:val="00ED53AB"/>
    <w:rsid w:val="00ED574E"/>
    <w:rsid w:val="00ED647E"/>
    <w:rsid w:val="00EE00AE"/>
    <w:rsid w:val="00EE0FFC"/>
    <w:rsid w:val="00EE416E"/>
    <w:rsid w:val="00EE4334"/>
    <w:rsid w:val="00EE5894"/>
    <w:rsid w:val="00EF028F"/>
    <w:rsid w:val="00EF0AD3"/>
    <w:rsid w:val="00EF2AC1"/>
    <w:rsid w:val="00EF3E7C"/>
    <w:rsid w:val="00EF4DD5"/>
    <w:rsid w:val="00EF5077"/>
    <w:rsid w:val="00EF5E05"/>
    <w:rsid w:val="00EF6209"/>
    <w:rsid w:val="00F001A4"/>
    <w:rsid w:val="00F02CF6"/>
    <w:rsid w:val="00F03C6D"/>
    <w:rsid w:val="00F04AC2"/>
    <w:rsid w:val="00F05F6B"/>
    <w:rsid w:val="00F10870"/>
    <w:rsid w:val="00F10AAE"/>
    <w:rsid w:val="00F15C3E"/>
    <w:rsid w:val="00F15E8B"/>
    <w:rsid w:val="00F211F5"/>
    <w:rsid w:val="00F22481"/>
    <w:rsid w:val="00F225AA"/>
    <w:rsid w:val="00F22664"/>
    <w:rsid w:val="00F22864"/>
    <w:rsid w:val="00F23402"/>
    <w:rsid w:val="00F25AE9"/>
    <w:rsid w:val="00F27956"/>
    <w:rsid w:val="00F3400F"/>
    <w:rsid w:val="00F36202"/>
    <w:rsid w:val="00F5056B"/>
    <w:rsid w:val="00F52CB6"/>
    <w:rsid w:val="00F54D6B"/>
    <w:rsid w:val="00F614F1"/>
    <w:rsid w:val="00F61793"/>
    <w:rsid w:val="00F657AB"/>
    <w:rsid w:val="00F67C65"/>
    <w:rsid w:val="00F72EE2"/>
    <w:rsid w:val="00F74499"/>
    <w:rsid w:val="00F7505F"/>
    <w:rsid w:val="00F80497"/>
    <w:rsid w:val="00F81B48"/>
    <w:rsid w:val="00F823FB"/>
    <w:rsid w:val="00F82D9A"/>
    <w:rsid w:val="00F82FCF"/>
    <w:rsid w:val="00F8389B"/>
    <w:rsid w:val="00F85BBC"/>
    <w:rsid w:val="00F860C0"/>
    <w:rsid w:val="00F87D1C"/>
    <w:rsid w:val="00F9076B"/>
    <w:rsid w:val="00F9102B"/>
    <w:rsid w:val="00F912F9"/>
    <w:rsid w:val="00F9202E"/>
    <w:rsid w:val="00F945DD"/>
    <w:rsid w:val="00F95910"/>
    <w:rsid w:val="00F96361"/>
    <w:rsid w:val="00F97B67"/>
    <w:rsid w:val="00FA1F22"/>
    <w:rsid w:val="00FA5E74"/>
    <w:rsid w:val="00FA5F5C"/>
    <w:rsid w:val="00FA675A"/>
    <w:rsid w:val="00FB070E"/>
    <w:rsid w:val="00FB43DF"/>
    <w:rsid w:val="00FB48AA"/>
    <w:rsid w:val="00FB5551"/>
    <w:rsid w:val="00FB75C0"/>
    <w:rsid w:val="00FC4BCB"/>
    <w:rsid w:val="00FC5BB2"/>
    <w:rsid w:val="00FC693F"/>
    <w:rsid w:val="00FC7839"/>
    <w:rsid w:val="00FD239C"/>
    <w:rsid w:val="00FD2799"/>
    <w:rsid w:val="00FD322D"/>
    <w:rsid w:val="00FD36CD"/>
    <w:rsid w:val="00FD628F"/>
    <w:rsid w:val="00FD7EBC"/>
    <w:rsid w:val="00FE0162"/>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5715283"/>
  <w15:docId w15:val="{57902A19-0BD0-4D65-AD59-AA1FD95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semiHidden/>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paragraph" w:customStyle="1" w:styleId="Numbered">
    <w:name w:val="Numbered"/>
    <w:basedOn w:val="Normal"/>
    <w:rsid w:val="00485A3B"/>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paragraph" w:customStyle="1" w:styleId="Default">
    <w:name w:val="Default"/>
    <w:rsid w:val="003353DC"/>
    <w:pPr>
      <w:autoSpaceDE w:val="0"/>
      <w:autoSpaceDN w:val="0"/>
      <w:adjustRightInd w:val="0"/>
      <w:spacing w:before="0" w:after="0" w:line="240" w:lineRule="auto"/>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2F5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lueorchi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blueorchid.co.uk" TargetMode="External"/><Relationship Id="rId4" Type="http://schemas.openxmlformats.org/officeDocument/2006/relationships/settings" Target="settings.xml"/><Relationship Id="rId9" Type="http://schemas.openxmlformats.org/officeDocument/2006/relationships/hyperlink" Target="mailto:procurement@blueorchid.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4F7F7-EBF5-477C-9ABB-C0177212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16650</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jcrook</dc:creator>
  <cp:lastModifiedBy>jim crook</cp:lastModifiedBy>
  <cp:revision>32</cp:revision>
  <dcterms:created xsi:type="dcterms:W3CDTF">2015-12-07T15:06:00Z</dcterms:created>
  <dcterms:modified xsi:type="dcterms:W3CDTF">2020-07-07T14:53:00Z</dcterms:modified>
</cp:coreProperties>
</file>